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4849B" w14:textId="35DFA6D0" w:rsidR="00CC34A4" w:rsidRPr="00430A3C" w:rsidRDefault="00CC34A4" w:rsidP="00430A3C">
      <w:pPr>
        <w:spacing w:line="480" w:lineRule="auto"/>
      </w:pPr>
    </w:p>
    <w:p w14:paraId="600F4337" w14:textId="44928406" w:rsidR="00B73AF7" w:rsidRPr="00430A3C" w:rsidRDefault="00B73AF7" w:rsidP="00430A3C">
      <w:pPr>
        <w:spacing w:line="480" w:lineRule="auto"/>
      </w:pPr>
    </w:p>
    <w:p w14:paraId="43DFBB5D" w14:textId="7923A8D0" w:rsidR="00B73AF7" w:rsidRDefault="00B73AF7" w:rsidP="00430A3C">
      <w:pPr>
        <w:spacing w:line="480" w:lineRule="auto"/>
      </w:pPr>
    </w:p>
    <w:p w14:paraId="7AD2BEA4" w14:textId="77777777" w:rsidR="002E425F" w:rsidRPr="00430A3C" w:rsidRDefault="002E425F" w:rsidP="00430A3C">
      <w:pPr>
        <w:spacing w:line="480" w:lineRule="auto"/>
      </w:pPr>
    </w:p>
    <w:p w14:paraId="4BA2B24D" w14:textId="2477A8E8" w:rsidR="00B73AF7" w:rsidRPr="002E425F" w:rsidRDefault="0007295F" w:rsidP="002E425F">
      <w:pPr>
        <w:spacing w:after="0" w:line="480" w:lineRule="auto"/>
        <w:jc w:val="center"/>
        <w:rPr>
          <w:rFonts w:cs="Times New Roman"/>
          <w:b/>
          <w:szCs w:val="24"/>
          <w:lang w:val="en-GB"/>
        </w:rPr>
      </w:pPr>
      <w:r w:rsidRPr="0007295F">
        <w:rPr>
          <w:rFonts w:cs="Times New Roman"/>
          <w:b/>
          <w:szCs w:val="24"/>
          <w:lang w:val="en-GB"/>
        </w:rPr>
        <w:t>Micro-teaching and self-assessment</w:t>
      </w:r>
    </w:p>
    <w:p w14:paraId="77F1BCFE" w14:textId="77777777" w:rsidR="00B54CAD" w:rsidRDefault="00B54CAD" w:rsidP="00430A3C">
      <w:pPr>
        <w:spacing w:line="480" w:lineRule="auto"/>
        <w:jc w:val="center"/>
      </w:pPr>
    </w:p>
    <w:p w14:paraId="3347D2B3" w14:textId="77777777" w:rsidR="002E425F" w:rsidRDefault="002E425F" w:rsidP="002E425F">
      <w:pPr>
        <w:spacing w:after="0" w:line="480" w:lineRule="auto"/>
        <w:jc w:val="center"/>
        <w:rPr>
          <w:rFonts w:cs="Times New Roman"/>
          <w:szCs w:val="24"/>
          <w:lang w:val="en-GB"/>
        </w:rPr>
      </w:pPr>
      <w:r>
        <w:rPr>
          <w:rFonts w:cs="Times New Roman"/>
          <w:szCs w:val="24"/>
          <w:lang w:val="en-GB"/>
        </w:rPr>
        <w:t>Abdulrahman Albabakri, 025302</w:t>
      </w:r>
    </w:p>
    <w:p w14:paraId="656AE448" w14:textId="77777777" w:rsidR="002E425F" w:rsidRPr="00781C64" w:rsidRDefault="002E425F" w:rsidP="002E425F">
      <w:pPr>
        <w:spacing w:after="0" w:line="480" w:lineRule="auto"/>
        <w:jc w:val="center"/>
        <w:rPr>
          <w:rFonts w:cs="Times New Roman"/>
          <w:szCs w:val="24"/>
          <w:lang w:val="en-GB"/>
        </w:rPr>
      </w:pPr>
      <w:r w:rsidRPr="00A45058">
        <w:rPr>
          <w:rFonts w:cs="Times New Roman"/>
          <w:szCs w:val="24"/>
          <w:lang w:val="en-GB"/>
        </w:rPr>
        <w:t>Emirates College for Advanced Education</w:t>
      </w:r>
    </w:p>
    <w:p w14:paraId="254C9ED7" w14:textId="4ED614F7" w:rsidR="002E425F" w:rsidRPr="002E425F" w:rsidRDefault="00494FC1" w:rsidP="002E425F">
      <w:pPr>
        <w:spacing w:after="0" w:line="480" w:lineRule="auto"/>
        <w:jc w:val="center"/>
        <w:rPr>
          <w:rFonts w:cs="Times New Roman"/>
          <w:szCs w:val="24"/>
          <w:lang w:val="en-AE"/>
        </w:rPr>
      </w:pPr>
      <w:r w:rsidRPr="00494FC1">
        <w:rPr>
          <w:rFonts w:cs="Times New Roman"/>
          <w:szCs w:val="24"/>
          <w:lang w:val="en-AE"/>
        </w:rPr>
        <w:t>EDUSS1-Pedagogy</w:t>
      </w:r>
      <w:r w:rsidR="002E425F" w:rsidRPr="002E425F">
        <w:rPr>
          <w:lang w:val="en-AE"/>
        </w:rPr>
        <w:t xml:space="preserve"> </w:t>
      </w:r>
    </w:p>
    <w:p w14:paraId="207DB24C" w14:textId="4C2F059C" w:rsidR="002E425F" w:rsidRPr="002E425F" w:rsidRDefault="002E425F" w:rsidP="002E425F">
      <w:pPr>
        <w:spacing w:line="480" w:lineRule="auto"/>
        <w:jc w:val="center"/>
        <w:rPr>
          <w:rFonts w:cs="Times New Roman"/>
          <w:szCs w:val="24"/>
          <w:lang w:val="en-GB"/>
        </w:rPr>
      </w:pPr>
      <w:r w:rsidRPr="00730BCA">
        <w:rPr>
          <w:rFonts w:cs="Times New Roman"/>
          <w:szCs w:val="24"/>
          <w:lang w:val="en-GB"/>
        </w:rPr>
        <w:t xml:space="preserve">Dr. </w:t>
      </w:r>
      <w:r w:rsidRPr="002E425F">
        <w:rPr>
          <w:rFonts w:cs="Times New Roman"/>
          <w:szCs w:val="24"/>
          <w:lang w:val="en-GB"/>
        </w:rPr>
        <w:t>Dean Cairns</w:t>
      </w:r>
    </w:p>
    <w:p w14:paraId="112DCBA7" w14:textId="2B0B3289" w:rsidR="002E425F" w:rsidRPr="00781C64" w:rsidRDefault="00E42366" w:rsidP="002E425F">
      <w:pPr>
        <w:spacing w:after="0" w:line="480" w:lineRule="auto"/>
        <w:jc w:val="center"/>
        <w:rPr>
          <w:rFonts w:cs="Times New Roman"/>
          <w:szCs w:val="24"/>
          <w:lang w:val="en-GB"/>
        </w:rPr>
      </w:pPr>
      <w:r>
        <w:rPr>
          <w:rFonts w:cs="Times New Roman"/>
          <w:szCs w:val="24"/>
          <w:lang w:val="en-GB"/>
        </w:rPr>
        <w:t>M</w:t>
      </w:r>
      <w:r w:rsidR="002D6FFA">
        <w:rPr>
          <w:rFonts w:cs="Times New Roman"/>
          <w:szCs w:val="24"/>
          <w:lang w:val="en-GB"/>
        </w:rPr>
        <w:t>arch</w:t>
      </w:r>
      <w:r w:rsidR="002E425F">
        <w:rPr>
          <w:rFonts w:cs="Times New Roman"/>
          <w:szCs w:val="24"/>
          <w:lang w:val="en-GB"/>
        </w:rPr>
        <w:t xml:space="preserve"> </w:t>
      </w:r>
      <w:r>
        <w:rPr>
          <w:rFonts w:cs="Times New Roman"/>
          <w:szCs w:val="24"/>
          <w:lang w:val="en-GB"/>
        </w:rPr>
        <w:t>08</w:t>
      </w:r>
      <w:r w:rsidR="002E425F">
        <w:rPr>
          <w:rFonts w:cs="Times New Roman"/>
          <w:szCs w:val="24"/>
          <w:lang w:val="en-GB"/>
        </w:rPr>
        <w:t xml:space="preserve">, </w:t>
      </w:r>
      <w:r w:rsidR="002E425F" w:rsidRPr="00A45058">
        <w:rPr>
          <w:rFonts w:cs="Times New Roman"/>
          <w:szCs w:val="24"/>
          <w:lang w:val="en-GB"/>
        </w:rPr>
        <w:t>202</w:t>
      </w:r>
      <w:r w:rsidR="005D1B08">
        <w:rPr>
          <w:rFonts w:cs="Times New Roman"/>
          <w:szCs w:val="24"/>
          <w:lang w:val="en-GB"/>
        </w:rPr>
        <w:t>6</w:t>
      </w:r>
    </w:p>
    <w:p w14:paraId="21688A3F" w14:textId="77777777" w:rsidR="00B73AF7" w:rsidRPr="00430A3C" w:rsidRDefault="00B73AF7" w:rsidP="00430A3C">
      <w:pPr>
        <w:spacing w:line="480" w:lineRule="auto"/>
      </w:pPr>
      <w:r w:rsidRPr="00430A3C">
        <w:br w:type="page"/>
      </w:r>
    </w:p>
    <w:p w14:paraId="528F58B9" w14:textId="77777777" w:rsidR="008C2137" w:rsidRDefault="008C2137" w:rsidP="00CF283E">
      <w:pPr>
        <w:spacing w:line="480" w:lineRule="auto"/>
        <w:rPr>
          <w:b/>
          <w:bCs/>
        </w:rPr>
      </w:pPr>
      <w:r w:rsidRPr="008C2137">
        <w:rPr>
          <w:b/>
          <w:bCs/>
        </w:rPr>
        <w:lastRenderedPageBreak/>
        <w:t>Pedagogical Strategy: Scaffolding Prior Knowledge to Introduce Abstract Concepts</w:t>
      </w:r>
    </w:p>
    <w:p w14:paraId="48DBFB30" w14:textId="5CB0562B" w:rsidR="00731730" w:rsidRDefault="00724664" w:rsidP="00CF283E">
      <w:pPr>
        <w:spacing w:line="480" w:lineRule="auto"/>
      </w:pPr>
      <w:r w:rsidRPr="00724664">
        <w:rPr>
          <w:b/>
          <w:bCs/>
        </w:rPr>
        <w:t>Criteria:</w:t>
      </w:r>
      <w:r w:rsidRPr="00724664">
        <w:t xml:space="preserve"> </w:t>
      </w:r>
      <w:r w:rsidR="00905F8B" w:rsidRPr="00905F8B">
        <w:t>This evaluation aligns with the NECF competency Enacts Pedagogic Practices</w:t>
      </w:r>
      <w:r w:rsidR="00905F8B">
        <w:t xml:space="preserve">. </w:t>
      </w:r>
      <w:r w:rsidR="00905F8B" w:rsidRPr="00905F8B">
        <w:t>The specific practice indicator being evaluated is the teacher's ability to: "Structure and sequence teaching and learning based on a growing understanding of how learners attend to, and make sense of, new ideas and experiences, including the importance of connecting with prior knowledge.</w:t>
      </w:r>
      <w:r w:rsidR="005801D6" w:rsidRPr="005801D6">
        <w:t xml:space="preserve"> </w:t>
      </w:r>
      <w:r w:rsidR="005801D6" w:rsidRPr="00905F8B">
        <w:t>"</w:t>
      </w:r>
    </w:p>
    <w:p w14:paraId="51ECA39D" w14:textId="03A8CE17" w:rsidR="00A333D8" w:rsidRDefault="00731730" w:rsidP="00A333D8">
      <w:pPr>
        <w:spacing w:line="480" w:lineRule="auto"/>
      </w:pPr>
      <w:r w:rsidRPr="00CF283E">
        <w:rPr>
          <w:b/>
          <w:bCs/>
        </w:rPr>
        <w:t>Judgment</w:t>
      </w:r>
      <w:r>
        <w:t>:</w:t>
      </w:r>
      <w:r w:rsidR="00BC3388">
        <w:t xml:space="preserve"> </w:t>
      </w:r>
      <w:r w:rsidR="00BC3388" w:rsidRPr="00BC3388">
        <w:t>The instructional strategy through which macroscopic and everyday phenomena are linked to the microscopic and abstract world of chemistry concepts is structurally sound and sequenced appropriately. However, the approach to the challenging concept of "the mole" through the familiar cognitive frameworks reduces the initial cognitive load on the learner, although the instructional strategy, although having a good scaffold, relies too heavily on direct instruction and basic recall questions and fails to engage the learner on a higher-level cognitive level.</w:t>
      </w:r>
    </w:p>
    <w:p w14:paraId="1E84060B" w14:textId="3E2DDDF7" w:rsidR="00860272" w:rsidRDefault="00DF0F44" w:rsidP="00860272">
      <w:pPr>
        <w:spacing w:line="480" w:lineRule="auto"/>
      </w:pPr>
      <w:r w:rsidRPr="00DF0F44">
        <w:rPr>
          <w:b/>
          <w:bCs/>
        </w:rPr>
        <w:t>Evidence</w:t>
      </w:r>
      <w:r w:rsidRPr="00DF0F44">
        <w:t xml:space="preserve">: </w:t>
      </w:r>
      <w:r w:rsidR="00A61A82" w:rsidRPr="00A61A82">
        <w:t xml:space="preserve">The </w:t>
      </w:r>
      <w:r w:rsidR="00541B22">
        <w:t>teacher</w:t>
      </w:r>
      <w:r w:rsidR="00A61A82" w:rsidRPr="00A61A82">
        <w:t xml:space="preserve"> starts the class by activating the prior knowledge of the students about the general units of counting. This is done by making the students recall that a “dozen” means 12 items and a “pair” means 2 items. This is a classic and very effective approach to instruction, especially in the context of chemistry, as it uses macro-level cues to clarify micro-level concepts.</w:t>
      </w:r>
    </w:p>
    <w:p w14:paraId="7AA4877A" w14:textId="2EE19D0B" w:rsidR="00860272" w:rsidRDefault="00860272" w:rsidP="00860272">
      <w:pPr>
        <w:spacing w:line="480" w:lineRule="auto"/>
      </w:pPr>
      <w:r>
        <w:t xml:space="preserve">The transition occurs when the teacher introduces the mole simply as another, albeit much larger, "counting unit". To justify why a new unit is needed, the teacher poses a practical question: Could we build a glass of water atom by </w:t>
      </w:r>
      <w:proofErr w:type="gramStart"/>
      <w:r>
        <w:t>atom?.</w:t>
      </w:r>
      <w:proofErr w:type="gramEnd"/>
      <w:r>
        <w:t xml:space="preserve"> A student correctly deduces that it is impossible "because the atom is too small to count".</w:t>
      </w:r>
    </w:p>
    <w:p w14:paraId="5F196551" w14:textId="14EE4A4F" w:rsidR="00DF0F44" w:rsidRDefault="00860272" w:rsidP="00860272">
      <w:pPr>
        <w:spacing w:line="480" w:lineRule="auto"/>
      </w:pPr>
      <w:r>
        <w:lastRenderedPageBreak/>
        <w:t>While this sequence logically guides the students to the learning objective, the interaction is highly restricted. The questioning is characterized by a brief "call and response" pattern rather than collaborative sense-making. The teacher frequently answers their own rhetorical questions or accepts single-word affirmations ("Yeah"), which limits the opportunity to assess whether all students have genuinely grasped the magnitude of the concept before moving on. The pedagogy successfully sets the stage but leaves the learners in a primarily passive role.</w:t>
      </w:r>
    </w:p>
    <w:p w14:paraId="0C47A0B0" w14:textId="77777777" w:rsidR="009405DD" w:rsidRDefault="009405DD" w:rsidP="00AF1883">
      <w:pPr>
        <w:spacing w:line="480" w:lineRule="auto"/>
        <w:rPr>
          <w:b/>
          <w:bCs/>
        </w:rPr>
      </w:pPr>
      <w:r w:rsidRPr="009405DD">
        <w:rPr>
          <w:b/>
          <w:bCs/>
        </w:rPr>
        <w:t xml:space="preserve">Application </w:t>
      </w:r>
      <w:proofErr w:type="gramStart"/>
      <w:r w:rsidRPr="009405DD">
        <w:rPr>
          <w:b/>
          <w:bCs/>
        </w:rPr>
        <w:t>of</w:t>
      </w:r>
      <w:proofErr w:type="gramEnd"/>
      <w:r w:rsidRPr="009405DD">
        <w:rPr>
          <w:b/>
          <w:bCs/>
        </w:rPr>
        <w:t xml:space="preserve"> Resources &amp; Technology Integration: Multimedia for Concept Visualization</w:t>
      </w:r>
    </w:p>
    <w:p w14:paraId="683D2F5D" w14:textId="709177BC" w:rsidR="00AF1883" w:rsidRDefault="00AF1883" w:rsidP="00AF1883">
      <w:pPr>
        <w:spacing w:line="480" w:lineRule="auto"/>
      </w:pPr>
      <w:r w:rsidRPr="00AF1883">
        <w:rPr>
          <w:b/>
          <w:bCs/>
        </w:rPr>
        <w:t>Criteria</w:t>
      </w:r>
      <w:r>
        <w:t xml:space="preserve">: </w:t>
      </w:r>
      <w:r w:rsidR="00B12B83" w:rsidRPr="00B12B83">
        <w:t>This evaluation aligns with the NECF competency Incorporates Pedagogical and Technological Innovation</w:t>
      </w:r>
      <w:r w:rsidR="00B12B83">
        <w:t xml:space="preserve">. </w:t>
      </w:r>
      <w:r w:rsidR="00B12B83" w:rsidRPr="00B12B83">
        <w:t>The specific practice indicator being evaluated is the teacher's ability to: "Use technology to support achievement of teaching objectives and student learning outcomes."</w:t>
      </w:r>
    </w:p>
    <w:p w14:paraId="0E4EFA99" w14:textId="779EC0C6" w:rsidR="00AF1883" w:rsidRDefault="00AF1883" w:rsidP="00AF1883">
      <w:pPr>
        <w:spacing w:line="480" w:lineRule="auto"/>
      </w:pPr>
      <w:r w:rsidRPr="00AF1883">
        <w:rPr>
          <w:b/>
          <w:bCs/>
        </w:rPr>
        <w:t>Judgment</w:t>
      </w:r>
      <w:r>
        <w:t xml:space="preserve">: </w:t>
      </w:r>
      <w:r w:rsidR="00091B1E" w:rsidRPr="00091B1E">
        <w:t xml:space="preserve">The theoretical selection of the multimedia </w:t>
      </w:r>
      <w:proofErr w:type="gramStart"/>
      <w:r w:rsidR="00091B1E" w:rsidRPr="00091B1E">
        <w:t>resource</w:t>
      </w:r>
      <w:proofErr w:type="gramEnd"/>
      <w:r w:rsidR="00091B1E" w:rsidRPr="00091B1E">
        <w:t xml:space="preserve"> is excellent. The multimedia resource chosen is a video that supports the learning objective well through the vivid analogies used to describe Avogadro's constant. The practical implementation of the multimedia resources is poor. The technology used to deliver </w:t>
      </w:r>
      <w:proofErr w:type="gramStart"/>
      <w:r w:rsidR="00091B1E" w:rsidRPr="00091B1E">
        <w:t>the multimedia resource</w:t>
      </w:r>
      <w:proofErr w:type="gramEnd"/>
      <w:r w:rsidR="00091B1E" w:rsidRPr="00091B1E">
        <w:t xml:space="preserve"> disrupts the flow of the lesson, momentarily disrupting the professional learning environment.</w:t>
      </w:r>
    </w:p>
    <w:p w14:paraId="43298DEB" w14:textId="1444AE43" w:rsidR="000A06A4" w:rsidRDefault="00AF1883" w:rsidP="000A06A4">
      <w:pPr>
        <w:spacing w:line="480" w:lineRule="auto"/>
      </w:pPr>
      <w:r w:rsidRPr="00AF1883">
        <w:rPr>
          <w:b/>
          <w:bCs/>
        </w:rPr>
        <w:t>Evidence</w:t>
      </w:r>
      <w:r>
        <w:t xml:space="preserve">: </w:t>
      </w:r>
      <w:r w:rsidR="00D4690B" w:rsidRPr="00D2705C">
        <w:t xml:space="preserve">The use of the TED-Ed video is a powerful teaching strategy for the presentation of the idea, which cannot be physically demonstrated. The video uses prominent visual analogies to make the quantity </w:t>
      </w:r>
      <w:r w:rsidR="00D4690B">
        <w:t xml:space="preserve">6.02 × 10²³ </w:t>
      </w:r>
      <w:r w:rsidR="00D4690B" w:rsidRPr="00D2705C">
        <w:t xml:space="preserve">understandable. For example, it is explained that a mole of basketballs could be the size of a planet, such as Earth, and the financial </w:t>
      </w:r>
      <w:r w:rsidR="00D4690B" w:rsidRPr="00D2705C">
        <w:lastRenderedPageBreak/>
        <w:t>implications of spending one million dollars per second. The resources play the primary role of conceptual visualization, where the quantity is made understandable to the learners.</w:t>
      </w:r>
    </w:p>
    <w:p w14:paraId="090897BC" w14:textId="587D4B00" w:rsidR="003004EE" w:rsidRDefault="003004EE" w:rsidP="003004EE">
      <w:pPr>
        <w:spacing w:line="480" w:lineRule="auto"/>
      </w:pPr>
      <w:r>
        <w:t>The process illustrates the need for technical refinement. At the start of the lesson, the digital resource is unable to load, requiring the teacher to suddenly shift gears: “today we cannot show this link... we have a little bit of something to do here which I will describe.” In the introduction of the primary video resource, a loud, non-skippable advertisement is played for the students before the actual educational content.</w:t>
      </w:r>
    </w:p>
    <w:p w14:paraId="4FE48AA9" w14:textId="77777777" w:rsidR="00981BC2" w:rsidRDefault="003004EE" w:rsidP="003004EE">
      <w:pPr>
        <w:spacing w:line="480" w:lineRule="auto"/>
      </w:pPr>
      <w:r>
        <w:t>In the context of the classroom, each technical interruption or advertisement is like a disruption to the working memory of the students. They are suddenly disengaged from the narrative of the lesson, instead of being immersed in a focused, chemistry-related mindset. This illustrates that, though the technology resource was appropriate for the pedagogy, the management of the technology was not optimized for the learning process.</w:t>
      </w:r>
    </w:p>
    <w:p w14:paraId="494BCD61" w14:textId="18CB7217" w:rsidR="0030220E" w:rsidRDefault="0030220E" w:rsidP="003004EE">
      <w:pPr>
        <w:spacing w:line="480" w:lineRule="auto"/>
        <w:rPr>
          <w:b/>
          <w:bCs/>
        </w:rPr>
      </w:pPr>
      <w:r w:rsidRPr="0030220E">
        <w:rPr>
          <w:b/>
          <w:bCs/>
        </w:rPr>
        <w:t>Growth Area &amp; NECF Linkage</w:t>
      </w:r>
    </w:p>
    <w:p w14:paraId="27597EAA" w14:textId="0A39BE85" w:rsidR="0030220E" w:rsidRDefault="0030220E" w:rsidP="0030220E">
      <w:pPr>
        <w:spacing w:line="480" w:lineRule="auto"/>
      </w:pPr>
      <w:r>
        <w:t>Seamless Digital Curation and Technical Execution.</w:t>
      </w:r>
    </w:p>
    <w:p w14:paraId="198FA248" w14:textId="58E6654A" w:rsidR="0030220E" w:rsidRDefault="0030220E" w:rsidP="00151576">
      <w:pPr>
        <w:spacing w:line="480" w:lineRule="auto"/>
      </w:pPr>
      <w:r>
        <w:t>This growth area is directly linked to Incorporates Pedagogical &amp; Technological Innovation, specifically the indicator requiring the teacher to "Collaborate with other teachers and specialist staff to build proficiency in the use of technologies and digital resources."</w:t>
      </w:r>
      <w:r w:rsidR="00151576">
        <w:t xml:space="preserve"> </w:t>
      </w:r>
      <w:r>
        <w:t>The targeted area for growth is moving from simply using digital resources to curating and controlling them within the learning environment. When teaching high-cognitive-load subjects like chemistry, maintaining uninterrupted focus is critical.</w:t>
      </w:r>
      <w:r w:rsidR="00151576">
        <w:t xml:space="preserve"> </w:t>
      </w:r>
      <w:r>
        <w:t>To achieve this, the teacher should focus on developing a pre-lesson technical workflow. This includes:</w:t>
      </w:r>
    </w:p>
    <w:p w14:paraId="6C28362A" w14:textId="61C1B925" w:rsidR="0030220E" w:rsidRDefault="0030220E" w:rsidP="00116D17">
      <w:pPr>
        <w:spacing w:line="480" w:lineRule="auto"/>
        <w:ind w:left="720" w:firstLine="0"/>
      </w:pPr>
      <w:r w:rsidRPr="00116D17">
        <w:rPr>
          <w:b/>
          <w:bCs/>
        </w:rPr>
        <w:t>Embedding over Linking:</w:t>
      </w:r>
      <w:r>
        <w:t xml:space="preserve"> Instead of relying on live web browsers and external links that can fail or buffer, the teacher should learn how to embed video files directly into their presentation software</w:t>
      </w:r>
      <w:r w:rsidR="004C6019">
        <w:t>.</w:t>
      </w:r>
    </w:p>
    <w:p w14:paraId="316B9FCB" w14:textId="7AD00118" w:rsidR="0030220E" w:rsidRDefault="0030220E" w:rsidP="00116D17">
      <w:pPr>
        <w:spacing w:line="480" w:lineRule="auto"/>
        <w:ind w:left="720" w:firstLine="0"/>
      </w:pPr>
      <w:r w:rsidRPr="00116D17">
        <w:rPr>
          <w:b/>
          <w:bCs/>
        </w:rPr>
        <w:lastRenderedPageBreak/>
        <w:t>Ad-Free Environments:</w:t>
      </w:r>
      <w:r>
        <w:t xml:space="preserve"> If streaming from YouTube is unavoidable, the teacher must utilize educational platforms that strip away ads and comments (like </w:t>
      </w:r>
      <w:proofErr w:type="spellStart"/>
      <w:r>
        <w:t>EdPuzzle</w:t>
      </w:r>
      <w:proofErr w:type="spellEnd"/>
      <w:r>
        <w:t xml:space="preserve"> or </w:t>
      </w:r>
      <w:proofErr w:type="spellStart"/>
      <w:r>
        <w:t>SafeYouTube</w:t>
      </w:r>
      <w:proofErr w:type="spellEnd"/>
      <w:r>
        <w:t>), or ensure they are logged into a premium, ad-free account.</w:t>
      </w:r>
    </w:p>
    <w:p w14:paraId="47CE61BE" w14:textId="70ECDEC6" w:rsidR="0030220E" w:rsidRDefault="0030220E" w:rsidP="00116D17">
      <w:pPr>
        <w:spacing w:line="480" w:lineRule="auto"/>
        <w:ind w:left="720" w:firstLine="0"/>
      </w:pPr>
      <w:r w:rsidRPr="00116D17">
        <w:rPr>
          <w:b/>
          <w:bCs/>
        </w:rPr>
        <w:t>Contingency Planning:</w:t>
      </w:r>
      <w:r>
        <w:t xml:space="preserve"> Always have a low-tech backup for high-tech failures. When the initial link failed, having a pre-drawn diagram on the whiteboard or a printed handout would have maintained the lesson's momentum.</w:t>
      </w:r>
    </w:p>
    <w:p w14:paraId="14815B75" w14:textId="53889A20" w:rsidR="00F95224" w:rsidRDefault="0030220E" w:rsidP="0030220E">
      <w:pPr>
        <w:spacing w:line="480" w:lineRule="auto"/>
      </w:pPr>
      <w:r>
        <w:t xml:space="preserve">By mastering these technical classroom management skills, the teacher ensures that their excellent choice of educational resources is delivered smoothly, keeping the students' cognitive energy focused entirely on learning </w:t>
      </w:r>
      <w:proofErr w:type="gramStart"/>
      <w:r>
        <w:t>the science</w:t>
      </w:r>
      <w:proofErr w:type="gramEnd"/>
      <w:r>
        <w:t xml:space="preserve">, rather than waiting </w:t>
      </w:r>
      <w:proofErr w:type="gramStart"/>
      <w:r>
        <w:t>on</w:t>
      </w:r>
      <w:proofErr w:type="gramEnd"/>
      <w:r>
        <w:t xml:space="preserve"> the technology.</w:t>
      </w:r>
    </w:p>
    <w:sectPr w:rsidR="00F95224">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BC2CA" w14:textId="77777777" w:rsidR="00396CFA" w:rsidRDefault="00396CFA" w:rsidP="00B73AF7">
      <w:pPr>
        <w:spacing w:after="0" w:line="240" w:lineRule="auto"/>
      </w:pPr>
      <w:r>
        <w:separator/>
      </w:r>
    </w:p>
  </w:endnote>
  <w:endnote w:type="continuationSeparator" w:id="0">
    <w:p w14:paraId="70F71AC3" w14:textId="77777777" w:rsidR="00396CFA" w:rsidRDefault="00396CFA" w:rsidP="00B73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91F7F" w14:textId="77777777" w:rsidR="00396CFA" w:rsidRDefault="00396CFA" w:rsidP="00B73AF7">
      <w:pPr>
        <w:spacing w:after="0" w:line="240" w:lineRule="auto"/>
      </w:pPr>
      <w:r>
        <w:separator/>
      </w:r>
    </w:p>
  </w:footnote>
  <w:footnote w:type="continuationSeparator" w:id="0">
    <w:p w14:paraId="24260665" w14:textId="77777777" w:rsidR="00396CFA" w:rsidRDefault="00396CFA" w:rsidP="00B73A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096461"/>
      <w:docPartObj>
        <w:docPartGallery w:val="Page Numbers (Top of Page)"/>
        <w:docPartUnique/>
      </w:docPartObj>
    </w:sdtPr>
    <w:sdtEndPr>
      <w:rPr>
        <w:noProof/>
      </w:rPr>
    </w:sdtEndPr>
    <w:sdtContent>
      <w:p w14:paraId="52C40357" w14:textId="3BFE25F2" w:rsidR="00B73AF7" w:rsidRDefault="00B73AF7">
        <w:pPr>
          <w:pStyle w:val="Header"/>
          <w:jc w:val="right"/>
        </w:pPr>
        <w:r>
          <w:fldChar w:fldCharType="begin"/>
        </w:r>
        <w:r>
          <w:instrText xml:space="preserve"> PAGE   \* MERGEFORMAT </w:instrText>
        </w:r>
        <w:r>
          <w:fldChar w:fldCharType="separate"/>
        </w:r>
        <w:r w:rsidR="006D3FD2">
          <w:rPr>
            <w:noProof/>
          </w:rPr>
          <w:t>5</w:t>
        </w:r>
        <w:r>
          <w:rPr>
            <w:noProof/>
          </w:rPr>
          <w:fldChar w:fldCharType="end"/>
        </w:r>
      </w:p>
    </w:sdtContent>
  </w:sdt>
  <w:p w14:paraId="0CDD3C0B" w14:textId="77777777" w:rsidR="00B73AF7" w:rsidRDefault="00B73A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3657D"/>
    <w:multiLevelType w:val="hybridMultilevel"/>
    <w:tmpl w:val="7354E9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92755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AF7"/>
    <w:rsid w:val="00004C25"/>
    <w:rsid w:val="000215B1"/>
    <w:rsid w:val="0007295F"/>
    <w:rsid w:val="00091B1E"/>
    <w:rsid w:val="000A06A4"/>
    <w:rsid w:val="000D76BB"/>
    <w:rsid w:val="000E0FCF"/>
    <w:rsid w:val="000F7D03"/>
    <w:rsid w:val="0010792A"/>
    <w:rsid w:val="00116D17"/>
    <w:rsid w:val="00130B29"/>
    <w:rsid w:val="00136134"/>
    <w:rsid w:val="00151576"/>
    <w:rsid w:val="00187CF8"/>
    <w:rsid w:val="001F636C"/>
    <w:rsid w:val="00215660"/>
    <w:rsid w:val="0028403A"/>
    <w:rsid w:val="002974E0"/>
    <w:rsid w:val="002A2C6C"/>
    <w:rsid w:val="002B7180"/>
    <w:rsid w:val="002B7FE5"/>
    <w:rsid w:val="002C4E43"/>
    <w:rsid w:val="002D03CD"/>
    <w:rsid w:val="002D4D11"/>
    <w:rsid w:val="002D6FFA"/>
    <w:rsid w:val="002E3FFA"/>
    <w:rsid w:val="002E425F"/>
    <w:rsid w:val="002F4F24"/>
    <w:rsid w:val="003004EE"/>
    <w:rsid w:val="0030220E"/>
    <w:rsid w:val="00343E63"/>
    <w:rsid w:val="00375630"/>
    <w:rsid w:val="00382DB4"/>
    <w:rsid w:val="00387E61"/>
    <w:rsid w:val="00396CFA"/>
    <w:rsid w:val="00397A30"/>
    <w:rsid w:val="003A43BE"/>
    <w:rsid w:val="003E1887"/>
    <w:rsid w:val="00430A2C"/>
    <w:rsid w:val="00430A3C"/>
    <w:rsid w:val="00432179"/>
    <w:rsid w:val="00485B94"/>
    <w:rsid w:val="00494FC1"/>
    <w:rsid w:val="004976E2"/>
    <w:rsid w:val="004A2426"/>
    <w:rsid w:val="004B2BDC"/>
    <w:rsid w:val="004C6019"/>
    <w:rsid w:val="004D3B4C"/>
    <w:rsid w:val="004F157F"/>
    <w:rsid w:val="004F3916"/>
    <w:rsid w:val="00512B0B"/>
    <w:rsid w:val="00541B22"/>
    <w:rsid w:val="005801D6"/>
    <w:rsid w:val="005827E1"/>
    <w:rsid w:val="005D0201"/>
    <w:rsid w:val="005D1B08"/>
    <w:rsid w:val="005D6D72"/>
    <w:rsid w:val="005E5DD2"/>
    <w:rsid w:val="006522FB"/>
    <w:rsid w:val="006700A7"/>
    <w:rsid w:val="006C60ED"/>
    <w:rsid w:val="006D3FD2"/>
    <w:rsid w:val="006F2A9D"/>
    <w:rsid w:val="006F36E1"/>
    <w:rsid w:val="006F55FF"/>
    <w:rsid w:val="00715313"/>
    <w:rsid w:val="00724664"/>
    <w:rsid w:val="00731730"/>
    <w:rsid w:val="00735EEA"/>
    <w:rsid w:val="007515A5"/>
    <w:rsid w:val="0076487B"/>
    <w:rsid w:val="00782A84"/>
    <w:rsid w:val="00783712"/>
    <w:rsid w:val="007B2E8E"/>
    <w:rsid w:val="008354F0"/>
    <w:rsid w:val="00852253"/>
    <w:rsid w:val="00860272"/>
    <w:rsid w:val="00865B5C"/>
    <w:rsid w:val="00890E8D"/>
    <w:rsid w:val="008A14CD"/>
    <w:rsid w:val="008B1AE4"/>
    <w:rsid w:val="008C2137"/>
    <w:rsid w:val="008E265C"/>
    <w:rsid w:val="00905F8B"/>
    <w:rsid w:val="009405DD"/>
    <w:rsid w:val="00981BC2"/>
    <w:rsid w:val="009875B9"/>
    <w:rsid w:val="009E4872"/>
    <w:rsid w:val="00A333D8"/>
    <w:rsid w:val="00A61A82"/>
    <w:rsid w:val="00A61FB5"/>
    <w:rsid w:val="00AA0899"/>
    <w:rsid w:val="00AB4F40"/>
    <w:rsid w:val="00AC2627"/>
    <w:rsid w:val="00AF1883"/>
    <w:rsid w:val="00AF20DE"/>
    <w:rsid w:val="00B12B83"/>
    <w:rsid w:val="00B154F0"/>
    <w:rsid w:val="00B172F9"/>
    <w:rsid w:val="00B23614"/>
    <w:rsid w:val="00B23E0E"/>
    <w:rsid w:val="00B2632D"/>
    <w:rsid w:val="00B35D0F"/>
    <w:rsid w:val="00B54CAD"/>
    <w:rsid w:val="00B65D53"/>
    <w:rsid w:val="00B70929"/>
    <w:rsid w:val="00B73AF7"/>
    <w:rsid w:val="00B77929"/>
    <w:rsid w:val="00BC0EFB"/>
    <w:rsid w:val="00BC3388"/>
    <w:rsid w:val="00BC4FD8"/>
    <w:rsid w:val="00BC642F"/>
    <w:rsid w:val="00BD1419"/>
    <w:rsid w:val="00BF0C26"/>
    <w:rsid w:val="00C239E4"/>
    <w:rsid w:val="00CC34A4"/>
    <w:rsid w:val="00CF283E"/>
    <w:rsid w:val="00D02B3A"/>
    <w:rsid w:val="00D2705C"/>
    <w:rsid w:val="00D356A1"/>
    <w:rsid w:val="00D4690B"/>
    <w:rsid w:val="00D92506"/>
    <w:rsid w:val="00DC22A4"/>
    <w:rsid w:val="00DF0F44"/>
    <w:rsid w:val="00E06A36"/>
    <w:rsid w:val="00E06F7C"/>
    <w:rsid w:val="00E16C8A"/>
    <w:rsid w:val="00E42366"/>
    <w:rsid w:val="00E4775A"/>
    <w:rsid w:val="00E6526D"/>
    <w:rsid w:val="00E750C9"/>
    <w:rsid w:val="00E8728B"/>
    <w:rsid w:val="00EB2778"/>
    <w:rsid w:val="00EB388B"/>
    <w:rsid w:val="00EE2FBF"/>
    <w:rsid w:val="00EE6E84"/>
    <w:rsid w:val="00F10618"/>
    <w:rsid w:val="00F33E63"/>
    <w:rsid w:val="00F95224"/>
    <w:rsid w:val="00FA25FE"/>
    <w:rsid w:val="00FA517A"/>
    <w:rsid w:val="00FB42EF"/>
    <w:rsid w:val="00FC60AA"/>
    <w:rsid w:val="00FE5D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FEE8E3"/>
  <w15:docId w15:val="{4674D53C-533C-8C4F-BA06-2E30AC451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25F"/>
    <w:pPr>
      <w:ind w:firstLine="720"/>
    </w:pPr>
  </w:style>
  <w:style w:type="paragraph" w:styleId="Heading4">
    <w:name w:val="heading 4"/>
    <w:basedOn w:val="Normal"/>
    <w:next w:val="Normal"/>
    <w:link w:val="Heading4Char"/>
    <w:uiPriority w:val="9"/>
    <w:semiHidden/>
    <w:unhideWhenUsed/>
    <w:qFormat/>
    <w:rsid w:val="002E425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3A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3AF7"/>
  </w:style>
  <w:style w:type="paragraph" w:styleId="Footer">
    <w:name w:val="footer"/>
    <w:basedOn w:val="Normal"/>
    <w:link w:val="FooterChar"/>
    <w:uiPriority w:val="99"/>
    <w:unhideWhenUsed/>
    <w:rsid w:val="00B73A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3AF7"/>
  </w:style>
  <w:style w:type="paragraph" w:styleId="NormalWeb">
    <w:name w:val="Normal (Web)"/>
    <w:basedOn w:val="Normal"/>
    <w:uiPriority w:val="99"/>
    <w:semiHidden/>
    <w:unhideWhenUsed/>
    <w:rsid w:val="002E425F"/>
    <w:rPr>
      <w:rFonts w:cs="Times New Roman"/>
      <w:szCs w:val="24"/>
    </w:rPr>
  </w:style>
  <w:style w:type="character" w:customStyle="1" w:styleId="Heading4Char">
    <w:name w:val="Heading 4 Char"/>
    <w:basedOn w:val="DefaultParagraphFont"/>
    <w:link w:val="Heading4"/>
    <w:uiPriority w:val="9"/>
    <w:semiHidden/>
    <w:rsid w:val="002E425F"/>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E06F7C"/>
    <w:rPr>
      <w:color w:val="0563C1" w:themeColor="hyperlink"/>
      <w:u w:val="single"/>
    </w:rPr>
  </w:style>
  <w:style w:type="character" w:styleId="UnresolvedMention">
    <w:name w:val="Unresolved Mention"/>
    <w:basedOn w:val="DefaultParagraphFont"/>
    <w:uiPriority w:val="99"/>
    <w:semiHidden/>
    <w:unhideWhenUsed/>
    <w:rsid w:val="00E06F7C"/>
    <w:rPr>
      <w:color w:val="605E5C"/>
      <w:shd w:val="clear" w:color="auto" w:fill="E1DFDD"/>
    </w:rPr>
  </w:style>
  <w:style w:type="paragraph" w:styleId="ListParagraph">
    <w:name w:val="List Paragraph"/>
    <w:basedOn w:val="Normal"/>
    <w:uiPriority w:val="34"/>
    <w:qFormat/>
    <w:rsid w:val="00116D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10195">
      <w:bodyDiv w:val="1"/>
      <w:marLeft w:val="0"/>
      <w:marRight w:val="0"/>
      <w:marTop w:val="0"/>
      <w:marBottom w:val="0"/>
      <w:divBdr>
        <w:top w:val="none" w:sz="0" w:space="0" w:color="auto"/>
        <w:left w:val="none" w:sz="0" w:space="0" w:color="auto"/>
        <w:bottom w:val="none" w:sz="0" w:space="0" w:color="auto"/>
        <w:right w:val="none" w:sz="0" w:space="0" w:color="auto"/>
      </w:divBdr>
    </w:div>
    <w:div w:id="415323916">
      <w:bodyDiv w:val="1"/>
      <w:marLeft w:val="0"/>
      <w:marRight w:val="0"/>
      <w:marTop w:val="0"/>
      <w:marBottom w:val="0"/>
      <w:divBdr>
        <w:top w:val="none" w:sz="0" w:space="0" w:color="auto"/>
        <w:left w:val="none" w:sz="0" w:space="0" w:color="auto"/>
        <w:bottom w:val="none" w:sz="0" w:space="0" w:color="auto"/>
        <w:right w:val="none" w:sz="0" w:space="0" w:color="auto"/>
      </w:divBdr>
      <w:divsChild>
        <w:div w:id="177040012">
          <w:marLeft w:val="0"/>
          <w:marRight w:val="0"/>
          <w:marTop w:val="0"/>
          <w:marBottom w:val="0"/>
          <w:divBdr>
            <w:top w:val="none" w:sz="0" w:space="0" w:color="auto"/>
            <w:left w:val="none" w:sz="0" w:space="0" w:color="auto"/>
            <w:bottom w:val="none" w:sz="0" w:space="0" w:color="auto"/>
            <w:right w:val="none" w:sz="0" w:space="0" w:color="auto"/>
          </w:divBdr>
          <w:divsChild>
            <w:div w:id="1269504369">
              <w:marLeft w:val="0"/>
              <w:marRight w:val="0"/>
              <w:marTop w:val="0"/>
              <w:marBottom w:val="0"/>
              <w:divBdr>
                <w:top w:val="none" w:sz="0" w:space="0" w:color="auto"/>
                <w:left w:val="none" w:sz="0" w:space="0" w:color="auto"/>
                <w:bottom w:val="none" w:sz="0" w:space="0" w:color="auto"/>
                <w:right w:val="none" w:sz="0" w:space="0" w:color="auto"/>
              </w:divBdr>
              <w:divsChild>
                <w:div w:id="192271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164914">
      <w:bodyDiv w:val="1"/>
      <w:marLeft w:val="0"/>
      <w:marRight w:val="0"/>
      <w:marTop w:val="0"/>
      <w:marBottom w:val="0"/>
      <w:divBdr>
        <w:top w:val="none" w:sz="0" w:space="0" w:color="auto"/>
        <w:left w:val="none" w:sz="0" w:space="0" w:color="auto"/>
        <w:bottom w:val="none" w:sz="0" w:space="0" w:color="auto"/>
        <w:right w:val="none" w:sz="0" w:space="0" w:color="auto"/>
      </w:divBdr>
      <w:divsChild>
        <w:div w:id="1636830707">
          <w:marLeft w:val="0"/>
          <w:marRight w:val="0"/>
          <w:marTop w:val="0"/>
          <w:marBottom w:val="0"/>
          <w:divBdr>
            <w:top w:val="none" w:sz="0" w:space="0" w:color="auto"/>
            <w:left w:val="none" w:sz="0" w:space="0" w:color="auto"/>
            <w:bottom w:val="none" w:sz="0" w:space="0" w:color="auto"/>
            <w:right w:val="none" w:sz="0" w:space="0" w:color="auto"/>
          </w:divBdr>
          <w:divsChild>
            <w:div w:id="973291984">
              <w:marLeft w:val="0"/>
              <w:marRight w:val="0"/>
              <w:marTop w:val="0"/>
              <w:marBottom w:val="0"/>
              <w:divBdr>
                <w:top w:val="none" w:sz="0" w:space="0" w:color="auto"/>
                <w:left w:val="none" w:sz="0" w:space="0" w:color="auto"/>
                <w:bottom w:val="none" w:sz="0" w:space="0" w:color="auto"/>
                <w:right w:val="none" w:sz="0" w:space="0" w:color="auto"/>
              </w:divBdr>
              <w:divsChild>
                <w:div w:id="24642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041814">
      <w:bodyDiv w:val="1"/>
      <w:marLeft w:val="0"/>
      <w:marRight w:val="0"/>
      <w:marTop w:val="0"/>
      <w:marBottom w:val="0"/>
      <w:divBdr>
        <w:top w:val="none" w:sz="0" w:space="0" w:color="auto"/>
        <w:left w:val="none" w:sz="0" w:space="0" w:color="auto"/>
        <w:bottom w:val="none" w:sz="0" w:space="0" w:color="auto"/>
        <w:right w:val="none" w:sz="0" w:space="0" w:color="auto"/>
      </w:divBdr>
    </w:div>
    <w:div w:id="910120974">
      <w:bodyDiv w:val="1"/>
      <w:marLeft w:val="0"/>
      <w:marRight w:val="0"/>
      <w:marTop w:val="0"/>
      <w:marBottom w:val="0"/>
      <w:divBdr>
        <w:top w:val="none" w:sz="0" w:space="0" w:color="auto"/>
        <w:left w:val="none" w:sz="0" w:space="0" w:color="auto"/>
        <w:bottom w:val="none" w:sz="0" w:space="0" w:color="auto"/>
        <w:right w:val="none" w:sz="0" w:space="0" w:color="auto"/>
      </w:divBdr>
    </w:div>
    <w:div w:id="960768233">
      <w:bodyDiv w:val="1"/>
      <w:marLeft w:val="0"/>
      <w:marRight w:val="0"/>
      <w:marTop w:val="0"/>
      <w:marBottom w:val="0"/>
      <w:divBdr>
        <w:top w:val="none" w:sz="0" w:space="0" w:color="auto"/>
        <w:left w:val="none" w:sz="0" w:space="0" w:color="auto"/>
        <w:bottom w:val="none" w:sz="0" w:space="0" w:color="auto"/>
        <w:right w:val="none" w:sz="0" w:space="0" w:color="auto"/>
      </w:divBdr>
    </w:div>
    <w:div w:id="1413896454">
      <w:bodyDiv w:val="1"/>
      <w:marLeft w:val="0"/>
      <w:marRight w:val="0"/>
      <w:marTop w:val="0"/>
      <w:marBottom w:val="0"/>
      <w:divBdr>
        <w:top w:val="none" w:sz="0" w:space="0" w:color="auto"/>
        <w:left w:val="none" w:sz="0" w:space="0" w:color="auto"/>
        <w:bottom w:val="none" w:sz="0" w:space="0" w:color="auto"/>
        <w:right w:val="none" w:sz="0" w:space="0" w:color="auto"/>
      </w:divBdr>
      <w:divsChild>
        <w:div w:id="1274023319">
          <w:marLeft w:val="0"/>
          <w:marRight w:val="0"/>
          <w:marTop w:val="0"/>
          <w:marBottom w:val="0"/>
          <w:divBdr>
            <w:top w:val="none" w:sz="0" w:space="0" w:color="auto"/>
            <w:left w:val="none" w:sz="0" w:space="0" w:color="auto"/>
            <w:bottom w:val="none" w:sz="0" w:space="0" w:color="auto"/>
            <w:right w:val="none" w:sz="0" w:space="0" w:color="auto"/>
          </w:divBdr>
          <w:divsChild>
            <w:div w:id="2095203665">
              <w:marLeft w:val="0"/>
              <w:marRight w:val="0"/>
              <w:marTop w:val="0"/>
              <w:marBottom w:val="0"/>
              <w:divBdr>
                <w:top w:val="none" w:sz="0" w:space="0" w:color="auto"/>
                <w:left w:val="none" w:sz="0" w:space="0" w:color="auto"/>
                <w:bottom w:val="none" w:sz="0" w:space="0" w:color="auto"/>
                <w:right w:val="none" w:sz="0" w:space="0" w:color="auto"/>
              </w:divBdr>
              <w:divsChild>
                <w:div w:id="28508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17351">
      <w:bodyDiv w:val="1"/>
      <w:marLeft w:val="0"/>
      <w:marRight w:val="0"/>
      <w:marTop w:val="0"/>
      <w:marBottom w:val="0"/>
      <w:divBdr>
        <w:top w:val="none" w:sz="0" w:space="0" w:color="auto"/>
        <w:left w:val="none" w:sz="0" w:space="0" w:color="auto"/>
        <w:bottom w:val="none" w:sz="0" w:space="0" w:color="auto"/>
        <w:right w:val="none" w:sz="0" w:space="0" w:color="auto"/>
      </w:divBdr>
      <w:divsChild>
        <w:div w:id="1518427168">
          <w:marLeft w:val="0"/>
          <w:marRight w:val="0"/>
          <w:marTop w:val="0"/>
          <w:marBottom w:val="0"/>
          <w:divBdr>
            <w:top w:val="none" w:sz="0" w:space="0" w:color="auto"/>
            <w:left w:val="none" w:sz="0" w:space="0" w:color="auto"/>
            <w:bottom w:val="none" w:sz="0" w:space="0" w:color="auto"/>
            <w:right w:val="none" w:sz="0" w:space="0" w:color="auto"/>
          </w:divBdr>
          <w:divsChild>
            <w:div w:id="511257959">
              <w:marLeft w:val="0"/>
              <w:marRight w:val="0"/>
              <w:marTop w:val="0"/>
              <w:marBottom w:val="0"/>
              <w:divBdr>
                <w:top w:val="none" w:sz="0" w:space="0" w:color="auto"/>
                <w:left w:val="none" w:sz="0" w:space="0" w:color="auto"/>
                <w:bottom w:val="none" w:sz="0" w:space="0" w:color="auto"/>
                <w:right w:val="none" w:sz="0" w:space="0" w:color="auto"/>
              </w:divBdr>
              <w:divsChild>
                <w:div w:id="160433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83</TotalTime>
  <Pages>5</Pages>
  <Words>941</Words>
  <Characters>5367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6296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Abdulrahman Mudheb Saleh Al Babakri (Miral Experiences)</cp:lastModifiedBy>
  <cp:revision>51</cp:revision>
  <dcterms:created xsi:type="dcterms:W3CDTF">2026-02-27T18:57:00Z</dcterms:created>
  <dcterms:modified xsi:type="dcterms:W3CDTF">2026-03-08T11:24:00Z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7250f454-4472-413f-b4cf-c5fb54ae61de</vt:lpwstr>
  </property>
  <property fmtid="{D5CDD505-2E9C-101B-9397-08002B2CF9AE}" pid="3" name="MSIP_Label_fe1c5235-23fc-43dc-a60e-9ba5e777df86_Enabled">
    <vt:lpwstr>true</vt:lpwstr>
  </property>
  <property fmtid="{D5CDD505-2E9C-101B-9397-08002B2CF9AE}" pid="4" name="MSIP_Label_fe1c5235-23fc-43dc-a60e-9ba5e777df86_SetDate">
    <vt:lpwstr>2025-10-04T16:33:02Z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42dec7a7-5a00-4f58-bba9-6feb51aed122</vt:lpwstr>
  </property>
  <property fmtid="{D5CDD505-2E9C-101B-9397-08002B2CF9AE}" pid="9" name="MSIP_Label_fe1c5235-23fc-43dc-a60e-9ba5e777df86_ContentBits">
    <vt:lpwstr>0</vt:lpwstr>
  </property>
</Properties>
</file>