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189F9C93" w:rsidR="00B73AF7" w:rsidRPr="002E425F" w:rsidRDefault="00B73AF7" w:rsidP="002E425F">
      <w:pPr>
        <w:spacing w:after="0" w:line="480" w:lineRule="auto"/>
        <w:jc w:val="center"/>
        <w:rPr>
          <w:rFonts w:cs="Times New Roman"/>
          <w:b/>
          <w:szCs w:val="24"/>
          <w:lang w:val="en-GB"/>
        </w:rPr>
      </w:pPr>
      <w:r w:rsidRPr="002E425F">
        <w:rPr>
          <w:rFonts w:cs="Times New Roman"/>
          <w:b/>
          <w:szCs w:val="24"/>
          <w:lang w:val="en-GB"/>
        </w:rPr>
        <w:t xml:space="preserve">Reflective </w:t>
      </w:r>
      <w:r w:rsidR="00B54CAD" w:rsidRPr="002E425F">
        <w:rPr>
          <w:rFonts w:cs="Times New Roman"/>
          <w:b/>
          <w:szCs w:val="24"/>
          <w:lang w:val="en-GB"/>
        </w:rPr>
        <w:t xml:space="preserve">Journal </w:t>
      </w:r>
      <w:r w:rsidRPr="002E425F">
        <w:rPr>
          <w:rFonts w:cs="Times New Roman"/>
          <w:b/>
          <w:szCs w:val="24"/>
          <w:lang w:val="en-GB"/>
        </w:rPr>
        <w:t xml:space="preserve">Entry </w:t>
      </w:r>
      <w:r w:rsidR="006700A7">
        <w:rPr>
          <w:rFonts w:cs="Times New Roman"/>
          <w:b/>
          <w:szCs w:val="24"/>
          <w:lang w:val="en-GB"/>
        </w:rPr>
        <w:t>2</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7081D3A4" w:rsidR="002E425F" w:rsidRPr="002E425F" w:rsidRDefault="00FC60AA" w:rsidP="002E425F">
      <w:pPr>
        <w:spacing w:after="0" w:line="480" w:lineRule="auto"/>
        <w:jc w:val="center"/>
        <w:rPr>
          <w:rFonts w:cs="Times New Roman"/>
          <w:szCs w:val="24"/>
          <w:lang w:val="en-AE"/>
        </w:rPr>
      </w:pPr>
      <w:r w:rsidRPr="00FC60AA">
        <w:rPr>
          <w:rFonts w:cs="Times New Roman"/>
          <w:szCs w:val="24"/>
          <w:lang w:val="en-AE"/>
        </w:rPr>
        <w:t>EDUSPPP</w:t>
      </w:r>
      <w:r w:rsidR="00CA43E1">
        <w:rPr>
          <w:rFonts w:cs="Times New Roman"/>
          <w:szCs w:val="24"/>
          <w:lang w:val="en-AE"/>
        </w:rPr>
        <w:t>3</w:t>
      </w:r>
      <w:r w:rsidR="002E425F">
        <w:rPr>
          <w:rFonts w:cs="Times New Roman"/>
          <w:szCs w:val="24"/>
          <w:lang w:val="en-GB"/>
        </w:rPr>
        <w:t xml:space="preserve">: </w:t>
      </w:r>
      <w:r w:rsidR="002E425F" w:rsidRPr="002E425F">
        <w:rPr>
          <w:lang w:val="en-AE"/>
        </w:rPr>
        <w:t>Secondary Professional Practice Placement</w:t>
      </w:r>
      <w:r w:rsidR="00CA43E1">
        <w:rPr>
          <w:lang w:val="en-AE"/>
        </w:rPr>
        <w:t xml:space="preserve"> </w:t>
      </w:r>
      <w:r w:rsidR="002E425F" w:rsidRPr="002E425F">
        <w:rPr>
          <w:lang w:val="en-AE"/>
        </w:rPr>
        <w:t>(SPPP</w:t>
      </w:r>
      <w:r w:rsidR="00CA43E1">
        <w:rPr>
          <w:lang w:val="en-AE"/>
        </w:rPr>
        <w:t>3</w:t>
      </w:r>
      <w:r w:rsidR="002E425F" w:rsidRPr="002E425F">
        <w:rPr>
          <w:lang w:val="en-AE"/>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6C530246" w:rsidR="002E425F" w:rsidRPr="00781C64" w:rsidRDefault="00CA43E1" w:rsidP="002E425F">
      <w:pPr>
        <w:spacing w:after="0" w:line="480" w:lineRule="auto"/>
        <w:jc w:val="center"/>
        <w:rPr>
          <w:rFonts w:cs="Times New Roman"/>
          <w:szCs w:val="24"/>
          <w:lang w:val="en-GB"/>
        </w:rPr>
      </w:pPr>
      <w:r>
        <w:rPr>
          <w:rFonts w:cs="Times New Roman"/>
          <w:szCs w:val="24"/>
          <w:lang w:val="en-GB"/>
        </w:rPr>
        <w:t>June</w:t>
      </w:r>
      <w:r w:rsidR="002E425F">
        <w:rPr>
          <w:rFonts w:cs="Times New Roman"/>
          <w:szCs w:val="24"/>
          <w:lang w:val="en-GB"/>
        </w:rPr>
        <w:t xml:space="preserve"> </w:t>
      </w:r>
      <w:r>
        <w:rPr>
          <w:rFonts w:cs="Times New Roman"/>
          <w:szCs w:val="24"/>
          <w:lang w:val="en-GB"/>
        </w:rPr>
        <w:t>07</w:t>
      </w:r>
      <w:r w:rsidR="002E425F">
        <w:rPr>
          <w:rFonts w:cs="Times New Roman"/>
          <w:szCs w:val="24"/>
          <w:lang w:val="en-GB"/>
        </w:rPr>
        <w:t xml:space="preserve">, </w:t>
      </w:r>
      <w:r w:rsidR="002E425F" w:rsidRPr="00A45058">
        <w:rPr>
          <w:rFonts w:cs="Times New Roman"/>
          <w:szCs w:val="24"/>
          <w:lang w:val="en-GB"/>
        </w:rPr>
        <w:t>202</w:t>
      </w:r>
      <w:r w:rsidR="005D1B08">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6BED40A3" w14:textId="77777777" w:rsidR="00EE2FBF" w:rsidRPr="00EE2FBF" w:rsidRDefault="00EE2FBF" w:rsidP="00911831">
      <w:pPr>
        <w:spacing w:line="360" w:lineRule="auto"/>
        <w:jc w:val="center"/>
      </w:pPr>
      <w:r w:rsidRPr="00EE2FBF">
        <w:rPr>
          <w:b/>
          <w:bCs/>
        </w:rPr>
        <w:lastRenderedPageBreak/>
        <w:t>Description</w:t>
      </w:r>
    </w:p>
    <w:p w14:paraId="1EF768CD" w14:textId="7B2953A9" w:rsidR="006B1735" w:rsidRDefault="001F5A42" w:rsidP="006B1735">
      <w:pPr>
        <w:spacing w:line="360" w:lineRule="auto"/>
      </w:pPr>
      <w:r w:rsidRPr="001F5A42">
        <w:t xml:space="preserve">This reflective journal documents my evaluation of two consecutive lesson(s) on Classifying Combustion and Decomposition Reactions taught in Grade 11 General Chemistry at Al Qudra Government School; both of which employed an inquiry-based teaching methodology for 45-minutes and contained a visual hook, group-work to collaborate on predictions of reactants producing products and an independent exit ticket used as a summative assessment at the conclusion of lessons. Lesson 1 involved a demonstration of burning a hydrocarbon; students worked through unpacking objective of the lesson followed by balancing the combustion equation. The second lesson included the introduction to decomposition (the reverse of </w:t>
      </w:r>
      <w:proofErr w:type="spellStart"/>
      <w:r w:rsidRPr="001F5A42">
        <w:t>synthesising</w:t>
      </w:r>
      <w:proofErr w:type="spellEnd"/>
      <w:r w:rsidRPr="001F5A42">
        <w:t>), where students observed the Hydrogen peroxide decomposition with a catalyst prior to predicting products formed from binary compounds. Both lessons were monitored by my mentor who provided feedback on my overall presence in the classroom, clarity of the concepts presented to students and levels of formative assessment occurring in my classroom.</w:t>
      </w:r>
    </w:p>
    <w:p w14:paraId="51CA83D9" w14:textId="078BF30A" w:rsidR="00EE2FBF" w:rsidRPr="004B2BDC" w:rsidRDefault="00EE2FBF" w:rsidP="006B1735">
      <w:pPr>
        <w:spacing w:line="360" w:lineRule="auto"/>
        <w:jc w:val="center"/>
      </w:pPr>
      <w:r w:rsidRPr="004B2BDC">
        <w:rPr>
          <w:b/>
          <w:bCs/>
        </w:rPr>
        <w:t>Evaluation</w:t>
      </w:r>
    </w:p>
    <w:p w14:paraId="7E4D1970" w14:textId="1E3DFF1C" w:rsidR="001F5A42" w:rsidRPr="00B92D91" w:rsidRDefault="001F5A42" w:rsidP="001F5A42">
      <w:pPr>
        <w:spacing w:line="360" w:lineRule="auto"/>
      </w:pPr>
      <w:r w:rsidRPr="00B92D91">
        <w:t>The Activation of prior knowledge and the establishment of explicit learning goals were two reasons why there were so many successes in both lessons. By unpacking the active verbs (to identify, to predict, to write) from the Learning Objectives provided the students with focus throughout the entire course of each lesson from the very first moment. Linking new learning (decomposition) to the students’ prior knowledge of synthesis reactions provided students with a strong cognitive anchor to prepare them for the new concepts. My presence in the class and intentional use of formative discussions allowed me to intervene when students used colloquial terms to correct them and prompt them to use academic vocabulary (for example: using the term "yields" instead of "makes").</w:t>
      </w:r>
    </w:p>
    <w:p w14:paraId="6191E504" w14:textId="6ED5E1A2" w:rsidR="006B1735" w:rsidRDefault="001F5A42" w:rsidP="001F5A42">
      <w:pPr>
        <w:spacing w:line="360" w:lineRule="auto"/>
      </w:pPr>
      <w:r w:rsidRPr="00B92D91">
        <w:t xml:space="preserve">The first lesson presented a couple of challenges. In my explanation of the concept of rapid oxidation, the scientific terminology I used was more advanced than students at the Grade 11 General level could understand, but by relating the concept to something the students are all familiar with (a car engine), I was able to bridge the understanding gap. Student focus during collaborative groups was also an issue, and many groups had lost sight of the overall goal by the end of the lesson. The second lesson showed both teacher-guided discussion to be academically rigorous while peer-to-peer interactions quickly returned to </w:t>
      </w:r>
      <w:r w:rsidRPr="00B92D91">
        <w:lastRenderedPageBreak/>
        <w:t>colloquial terms (for example: describing decomposition as “taking apart Lego blocks”) as soon as I went to support the other groups.</w:t>
      </w:r>
    </w:p>
    <w:p w14:paraId="3F7AE568" w14:textId="77777777" w:rsidR="006B1735" w:rsidRPr="006B1735" w:rsidRDefault="006B1735" w:rsidP="006B1735">
      <w:pPr>
        <w:spacing w:line="360" w:lineRule="auto"/>
        <w:rPr>
          <w:lang w:val="en-AE"/>
        </w:rPr>
      </w:pPr>
    </w:p>
    <w:p w14:paraId="01EB3C14" w14:textId="77187A9C" w:rsidR="00EE2FBF" w:rsidRPr="00890E8D" w:rsidRDefault="00EE2FBF" w:rsidP="00911831">
      <w:pPr>
        <w:spacing w:line="360" w:lineRule="auto"/>
        <w:jc w:val="center"/>
      </w:pPr>
      <w:r w:rsidRPr="00890E8D">
        <w:rPr>
          <w:b/>
          <w:bCs/>
        </w:rPr>
        <w:t>Analysis</w:t>
      </w:r>
    </w:p>
    <w:p w14:paraId="78D618FB" w14:textId="77777777" w:rsidR="001F5A42" w:rsidRDefault="001F5A42" w:rsidP="001F5A42">
      <w:pPr>
        <w:spacing w:line="360" w:lineRule="auto"/>
      </w:pPr>
      <w:r>
        <w:t>The successes and challenges of this research demonstrate the complexity of cognitive load, metacognitive regulation, and scientific discourse. The visual demonstrations are effective because they provide an essential transition from observable to abstract chemical ideas. Research in science education shows that "minds-on" cognitive engagement is more meaningful than just "hands-on" passive observation (Abrahams, 2017). By connecting the observable bubbling of hydrogen peroxide directly to an established theoretical framework, these activities are helping to manage the cognitive load for students while anchoring their new learning. According to Hattie &amp; Clarke (2018), the primary factor that has an impact on a learner's ability to learn is based on the learner's pre-existing understanding; therefore, when you discover what a student's prior knowledge is, you can teach them accordingly and prevent disconnects in pedagogy.</w:t>
      </w:r>
    </w:p>
    <w:p w14:paraId="77B95B62" w14:textId="48895F20" w:rsidR="00911831" w:rsidRDefault="001F5A42" w:rsidP="001F5A42">
      <w:pPr>
        <w:spacing w:line="360" w:lineRule="auto"/>
      </w:pPr>
      <w:r>
        <w:t>The challenges that arose with peer-to-peer dialogue demonstrated a substantial gap in metacognitive self-regulation among the students. When I was present (in the classroom), I was able to create real-time formative dialogue which increased their vocabulary, but they did not possess the internal scaffolding needed to independently sustain this academic language. Dialogue within the classroom is a powerful way of developing metacognitive skills, however; student-to-student discussions must be intentional in purpose and heavily supported by the teacher in order to remain cognitively productive (Education Endowment Foundation, 2018). The students had difficulty with this because I had not specifically taught them to monitor and regulate their own scientific conversations. Metacognition involves being aware of how you learn and regulating the way you learn, and when students are explicitly taught these strategies, they are better able to increase their overall learning (</w:t>
      </w:r>
      <w:proofErr w:type="spellStart"/>
      <w:r>
        <w:t>Avargil</w:t>
      </w:r>
      <w:proofErr w:type="spellEnd"/>
      <w:r>
        <w:t xml:space="preserve"> et al., 2018; Tanner, 2012). According to Harrison (2014), an additional source of formative assessment is generated when students engage in collaborative inquiry-based science activities. Therefore, as students conduct investigations and engage in consensus building during student-student dialogue, this will provide an added source of evidence in terms of their independent academic fluency (e.g. metacognitive skills).</w:t>
      </w:r>
    </w:p>
    <w:p w14:paraId="700CEB95" w14:textId="77777777" w:rsidR="00911831" w:rsidRDefault="00911831" w:rsidP="00B92D91">
      <w:pPr>
        <w:spacing w:line="360" w:lineRule="auto"/>
        <w:ind w:firstLine="0"/>
      </w:pPr>
    </w:p>
    <w:p w14:paraId="26F67ECB" w14:textId="569B41FE" w:rsidR="00EE2FBF" w:rsidRPr="00EE2FBF" w:rsidRDefault="00EE2FBF" w:rsidP="00911831">
      <w:pPr>
        <w:spacing w:line="360" w:lineRule="auto"/>
        <w:jc w:val="center"/>
      </w:pPr>
      <w:r w:rsidRPr="00EE2FBF">
        <w:rPr>
          <w:b/>
          <w:bCs/>
        </w:rPr>
        <w:lastRenderedPageBreak/>
        <w:t>Conclusion</w:t>
      </w:r>
    </w:p>
    <w:p w14:paraId="597F3F07" w14:textId="6497BE7D" w:rsidR="00B92D91" w:rsidRDefault="00B92D91" w:rsidP="00B92D91">
      <w:pPr>
        <w:spacing w:line="360" w:lineRule="auto"/>
      </w:pPr>
      <w:r>
        <w:t>After considering these two key lessons, it is clear that having a strong physical presence in the classroom is a great start as well as creating a clear set of beginning learning goals, however neither are enough to maintain rigorous academic engagement over an entire lesson. The realization I have had is that students need explicit instructional scaffolding in both balancing chemical formulas and how to self-regulate metacognitively and use scientific discourse (Education Endowment Foundation, 2018; Tanner, 2012).</w:t>
      </w:r>
    </w:p>
    <w:p w14:paraId="38CFABD5" w14:textId="01A1CC62" w:rsidR="006B1735" w:rsidRDefault="00B92D91" w:rsidP="00B92D91">
      <w:pPr>
        <w:spacing w:line="360" w:lineRule="auto"/>
      </w:pPr>
      <w:r>
        <w:t>Moving forward, I plan to incorporate structured “mid-lesson check-ins” that require students to stop and assess their collaborative progress toward meeting their objectives recorded on the whiteboard. This will help students avoid losing focus and will help promote the use of self-reflection (Tanner, 2012). In order to address the breakdown of academic language while students are working independently in groups, I will also use talk cards and visual vocabulary scaffolding that will be readily available at the laboratory bench spaces. This will allow students to hold each other accountable for using appropriate scientific language in conversation by providing them with the necessary tools to continue to engage in “learning talk” even when I am facilitating learning in other areas of the classroom (Education Endowment Foundation, 2018). Actively teaching these metacognitive strategies will better enable me to assist my students in connecting their intuitive, everyday language with the formal scientific language used in chemistry.</w:t>
      </w:r>
    </w:p>
    <w:p w14:paraId="43B5430E" w14:textId="77777777" w:rsidR="006B1735" w:rsidRDefault="006B1735" w:rsidP="006B1735">
      <w:pPr>
        <w:spacing w:line="360" w:lineRule="auto"/>
      </w:pPr>
    </w:p>
    <w:p w14:paraId="22F37C82" w14:textId="77777777" w:rsidR="006B1735" w:rsidRDefault="006B1735" w:rsidP="006B1735">
      <w:pPr>
        <w:spacing w:line="360" w:lineRule="auto"/>
      </w:pPr>
    </w:p>
    <w:p w14:paraId="794A24AC" w14:textId="77777777" w:rsidR="006B1735" w:rsidRDefault="006B1735" w:rsidP="006B1735">
      <w:pPr>
        <w:spacing w:line="360" w:lineRule="auto"/>
      </w:pPr>
    </w:p>
    <w:p w14:paraId="0E515957" w14:textId="77777777" w:rsidR="006B1735" w:rsidRDefault="006B1735" w:rsidP="006B1735">
      <w:pPr>
        <w:spacing w:line="360" w:lineRule="auto"/>
      </w:pPr>
    </w:p>
    <w:p w14:paraId="7C5B7B25" w14:textId="77777777" w:rsidR="006B1735" w:rsidRDefault="006B1735" w:rsidP="006B1735">
      <w:pPr>
        <w:spacing w:line="360" w:lineRule="auto"/>
      </w:pPr>
    </w:p>
    <w:p w14:paraId="25DE69D4" w14:textId="77777777" w:rsidR="006B1735" w:rsidRDefault="006B1735" w:rsidP="006B1735">
      <w:pPr>
        <w:spacing w:line="360" w:lineRule="auto"/>
      </w:pPr>
    </w:p>
    <w:p w14:paraId="5D6A37D8" w14:textId="77777777" w:rsidR="006B1735" w:rsidRDefault="006B1735" w:rsidP="006B1735">
      <w:pPr>
        <w:spacing w:line="360" w:lineRule="auto"/>
      </w:pPr>
    </w:p>
    <w:p w14:paraId="00376873" w14:textId="77777777" w:rsidR="006B1735" w:rsidRDefault="006B1735" w:rsidP="006B1735">
      <w:pPr>
        <w:spacing w:line="360" w:lineRule="auto"/>
      </w:pPr>
    </w:p>
    <w:p w14:paraId="0F653CAD" w14:textId="77777777" w:rsidR="006B1735" w:rsidRDefault="006B1735" w:rsidP="00B92D91">
      <w:pPr>
        <w:spacing w:line="360" w:lineRule="auto"/>
        <w:ind w:firstLine="0"/>
      </w:pPr>
    </w:p>
    <w:p w14:paraId="6A90727D" w14:textId="77777777" w:rsidR="00B92D91" w:rsidRDefault="00B92D91" w:rsidP="00B92D91">
      <w:pPr>
        <w:spacing w:line="360" w:lineRule="auto"/>
        <w:ind w:firstLine="0"/>
      </w:pPr>
    </w:p>
    <w:p w14:paraId="0C627CFA" w14:textId="587FC5AF" w:rsidR="00E750C9" w:rsidRPr="00E750C9" w:rsidRDefault="00E750C9" w:rsidP="006B1735">
      <w:pPr>
        <w:spacing w:line="360" w:lineRule="auto"/>
        <w:jc w:val="center"/>
      </w:pPr>
      <w:r w:rsidRPr="00E750C9">
        <w:rPr>
          <w:b/>
          <w:bCs/>
        </w:rPr>
        <w:lastRenderedPageBreak/>
        <w:t>References</w:t>
      </w:r>
    </w:p>
    <w:p w14:paraId="73F6F080" w14:textId="77777777" w:rsidR="006B1735" w:rsidRPr="006B1735" w:rsidRDefault="006B1735" w:rsidP="006B1735">
      <w:pPr>
        <w:spacing w:line="360" w:lineRule="auto"/>
        <w:ind w:left="720" w:hanging="720"/>
      </w:pPr>
      <w:r w:rsidRPr="006B1735">
        <w:t>Abrahams, I. (2017). Minds-on practical work for effective science learning. In K. S. Taber &amp; B. Akpan (Eds.), Science Education (pp. 403–413). Sense Publishers.</w:t>
      </w:r>
    </w:p>
    <w:p w14:paraId="447FE8A1" w14:textId="77777777" w:rsidR="006B1735" w:rsidRPr="006B1735" w:rsidRDefault="006B1735" w:rsidP="006B1735">
      <w:pPr>
        <w:spacing w:line="360" w:lineRule="auto"/>
        <w:ind w:left="720" w:hanging="720"/>
        <w:rPr>
          <w:lang w:val="en-AE"/>
        </w:rPr>
      </w:pPr>
      <w:r w:rsidRPr="006B1735">
        <w:rPr>
          <w:lang w:val="en-AE"/>
        </w:rPr>
        <w:t>Avargil, S., Lavi, R., &amp; Dori, Y. J. (2018). Students' metacognition and metacognitive strategies in science education. In Y. J. Dori et al. (Eds.), </w:t>
      </w:r>
      <w:r w:rsidRPr="006B1735">
        <w:rPr>
          <w:i/>
          <w:iCs/>
          <w:lang w:val="en-AE"/>
        </w:rPr>
        <w:t>Cognition, Metacognition, and Culture in STEM Education</w:t>
      </w:r>
      <w:r w:rsidRPr="006B1735">
        <w:rPr>
          <w:lang w:val="en-AE"/>
        </w:rPr>
        <w:t> (pp. 33–64). Springer.</w:t>
      </w:r>
    </w:p>
    <w:p w14:paraId="7A0C38E2" w14:textId="77777777" w:rsidR="006B1735" w:rsidRPr="006B1735" w:rsidRDefault="006B1735" w:rsidP="006B1735">
      <w:pPr>
        <w:spacing w:line="360" w:lineRule="auto"/>
        <w:ind w:left="720" w:hanging="720"/>
        <w:rPr>
          <w:lang w:val="en-AE"/>
        </w:rPr>
      </w:pPr>
      <w:r w:rsidRPr="006B1735">
        <w:rPr>
          <w:lang w:val="en-AE"/>
        </w:rPr>
        <w:t>Education Endowment Foundation. (2018). </w:t>
      </w:r>
      <w:r w:rsidRPr="006B1735">
        <w:rPr>
          <w:i/>
          <w:iCs/>
          <w:lang w:val="en-AE"/>
        </w:rPr>
        <w:t>Metacognition and self-regulated learning: Guidance report</w:t>
      </w:r>
      <w:r w:rsidRPr="006B1735">
        <w:rPr>
          <w:lang w:val="en-AE"/>
        </w:rPr>
        <w:t>.</w:t>
      </w:r>
    </w:p>
    <w:p w14:paraId="41EF327C" w14:textId="77777777" w:rsidR="006B1735" w:rsidRPr="006B1735" w:rsidRDefault="006B1735" w:rsidP="006B1735">
      <w:pPr>
        <w:spacing w:line="360" w:lineRule="auto"/>
        <w:ind w:left="720" w:hanging="720"/>
        <w:rPr>
          <w:lang w:val="en-AE"/>
        </w:rPr>
      </w:pPr>
      <w:r w:rsidRPr="006B1735">
        <w:rPr>
          <w:lang w:val="en-AE"/>
        </w:rPr>
        <w:t>Harrison, C. (2014). Assessment of inquiry skills in the SAILS project. </w:t>
      </w:r>
      <w:r w:rsidRPr="006B1735">
        <w:rPr>
          <w:i/>
          <w:iCs/>
          <w:lang w:val="en-AE"/>
        </w:rPr>
        <w:t>Science Education International, 25</w:t>
      </w:r>
      <w:r w:rsidRPr="006B1735">
        <w:rPr>
          <w:lang w:val="en-AE"/>
        </w:rPr>
        <w:t>(1), 112–122.</w:t>
      </w:r>
    </w:p>
    <w:p w14:paraId="1070869B" w14:textId="77777777" w:rsidR="006B1735" w:rsidRPr="006B1735" w:rsidRDefault="006B1735" w:rsidP="006B1735">
      <w:pPr>
        <w:spacing w:line="360" w:lineRule="auto"/>
        <w:ind w:left="720" w:hanging="720"/>
        <w:rPr>
          <w:lang w:val="en-AE"/>
        </w:rPr>
      </w:pPr>
      <w:r w:rsidRPr="006B1735">
        <w:rPr>
          <w:lang w:val="en-AE"/>
        </w:rPr>
        <w:t>Hattie, J., &amp; Clarke, S. (2018). </w:t>
      </w:r>
      <w:r w:rsidRPr="00B92D91">
        <w:rPr>
          <w:i/>
          <w:iCs/>
          <w:lang w:val="en-AE"/>
        </w:rPr>
        <w:t>Visible learning: Feedback.</w:t>
      </w:r>
      <w:r w:rsidRPr="006B1735">
        <w:rPr>
          <w:lang w:val="en-AE"/>
        </w:rPr>
        <w:t xml:space="preserve"> Routledge.</w:t>
      </w:r>
    </w:p>
    <w:p w14:paraId="47E8ADB1" w14:textId="77777777" w:rsidR="006B1735" w:rsidRPr="006B1735" w:rsidRDefault="006B1735" w:rsidP="006B1735">
      <w:pPr>
        <w:spacing w:line="360" w:lineRule="auto"/>
        <w:ind w:left="720" w:hanging="720"/>
        <w:rPr>
          <w:lang w:val="en-AE"/>
        </w:rPr>
      </w:pPr>
      <w:r w:rsidRPr="006B1735">
        <w:rPr>
          <w:lang w:val="en-AE"/>
        </w:rPr>
        <w:t>Tanner, K. D. (2012). Promoting student metacognition. </w:t>
      </w:r>
      <w:r w:rsidRPr="006B1735">
        <w:rPr>
          <w:i/>
          <w:iCs/>
          <w:lang w:val="en-AE"/>
        </w:rPr>
        <w:t>CBE—Life Sciences Education, 11</w:t>
      </w:r>
      <w:r w:rsidRPr="006B1735">
        <w:rPr>
          <w:lang w:val="en-AE"/>
        </w:rPr>
        <w:t>(2), 113–120.</w:t>
      </w:r>
    </w:p>
    <w:p w14:paraId="4B2DE363" w14:textId="77777777" w:rsidR="006B1735" w:rsidRDefault="006B1735" w:rsidP="00911831">
      <w:pPr>
        <w:spacing w:line="360" w:lineRule="auto"/>
        <w:ind w:left="720" w:hanging="720"/>
      </w:pPr>
    </w:p>
    <w:p w14:paraId="6E27D95F" w14:textId="77777777" w:rsidR="002E3FFA" w:rsidRPr="00430A3C" w:rsidRDefault="002E3FFA" w:rsidP="00430A3C">
      <w:pPr>
        <w:spacing w:line="480" w:lineRule="auto"/>
        <w:jc w:val="center"/>
      </w:pPr>
    </w:p>
    <w:p w14:paraId="302B103A" w14:textId="77777777" w:rsidR="00E6526D" w:rsidRPr="00430A3C" w:rsidRDefault="00E6526D" w:rsidP="00430A3C">
      <w:pPr>
        <w:spacing w:line="480" w:lineRule="auto"/>
      </w:pPr>
    </w:p>
    <w:p w14:paraId="0A095F25" w14:textId="77777777" w:rsidR="002974E0" w:rsidRPr="00430A3C" w:rsidRDefault="002974E0" w:rsidP="00430A3C">
      <w:pPr>
        <w:spacing w:line="480" w:lineRule="auto"/>
      </w:pPr>
    </w:p>
    <w:sectPr w:rsidR="002974E0" w:rsidRPr="00430A3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6A9197" w14:textId="77777777" w:rsidR="00E85CE6" w:rsidRDefault="00E85CE6" w:rsidP="00B73AF7">
      <w:pPr>
        <w:spacing w:after="0" w:line="240" w:lineRule="auto"/>
      </w:pPr>
      <w:r>
        <w:separator/>
      </w:r>
    </w:p>
  </w:endnote>
  <w:endnote w:type="continuationSeparator" w:id="0">
    <w:p w14:paraId="61E3B9C6" w14:textId="77777777" w:rsidR="00E85CE6" w:rsidRDefault="00E85CE6"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3B1B2F" w14:textId="77777777" w:rsidR="00E85CE6" w:rsidRDefault="00E85CE6" w:rsidP="00B73AF7">
      <w:pPr>
        <w:spacing w:after="0" w:line="240" w:lineRule="auto"/>
      </w:pPr>
      <w:r>
        <w:separator/>
      </w:r>
    </w:p>
  </w:footnote>
  <w:footnote w:type="continuationSeparator" w:id="0">
    <w:p w14:paraId="30D85259" w14:textId="77777777" w:rsidR="00E85CE6" w:rsidRDefault="00E85CE6"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6096461"/>
      <w:docPartObj>
        <w:docPartGallery w:val="Page Numbers (Top of Page)"/>
        <w:docPartUnique/>
      </w:docPartObj>
    </w:sdtPr>
    <w:sdtEndPr>
      <w:rPr>
        <w:noProof/>
      </w:rPr>
    </w:sdtEndPr>
    <w:sdtContent>
      <w:p w14:paraId="52C40357" w14:textId="3BFE25F2" w:rsidR="00B73AF7" w:rsidRDefault="00B73AF7">
        <w:pPr>
          <w:pStyle w:val="Header"/>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04C25"/>
    <w:rsid w:val="000215B1"/>
    <w:rsid w:val="000D76BB"/>
    <w:rsid w:val="000E0FCF"/>
    <w:rsid w:val="000F7D03"/>
    <w:rsid w:val="00130B29"/>
    <w:rsid w:val="00136134"/>
    <w:rsid w:val="00187CF8"/>
    <w:rsid w:val="001F5A42"/>
    <w:rsid w:val="001F636C"/>
    <w:rsid w:val="0028403A"/>
    <w:rsid w:val="002974E0"/>
    <w:rsid w:val="002B7FE5"/>
    <w:rsid w:val="002C4E43"/>
    <w:rsid w:val="002D4D11"/>
    <w:rsid w:val="002E3FFA"/>
    <w:rsid w:val="002E425F"/>
    <w:rsid w:val="00343E63"/>
    <w:rsid w:val="00356196"/>
    <w:rsid w:val="00375630"/>
    <w:rsid w:val="00382DB4"/>
    <w:rsid w:val="00397A30"/>
    <w:rsid w:val="003A43BE"/>
    <w:rsid w:val="00430A2C"/>
    <w:rsid w:val="00430A3C"/>
    <w:rsid w:val="00432179"/>
    <w:rsid w:val="00485B94"/>
    <w:rsid w:val="004976E2"/>
    <w:rsid w:val="004A2426"/>
    <w:rsid w:val="004B2BDC"/>
    <w:rsid w:val="004D3B4C"/>
    <w:rsid w:val="004F157F"/>
    <w:rsid w:val="004F3916"/>
    <w:rsid w:val="00512B0B"/>
    <w:rsid w:val="005C4C9C"/>
    <w:rsid w:val="005C6CE3"/>
    <w:rsid w:val="005D0201"/>
    <w:rsid w:val="005D1B08"/>
    <w:rsid w:val="005D6D72"/>
    <w:rsid w:val="005E5DD2"/>
    <w:rsid w:val="006522FB"/>
    <w:rsid w:val="006700A7"/>
    <w:rsid w:val="006B1735"/>
    <w:rsid w:val="006D3FD2"/>
    <w:rsid w:val="006F2A9D"/>
    <w:rsid w:val="006F36E1"/>
    <w:rsid w:val="006F55FF"/>
    <w:rsid w:val="00715313"/>
    <w:rsid w:val="00735EEA"/>
    <w:rsid w:val="007515A5"/>
    <w:rsid w:val="0076487B"/>
    <w:rsid w:val="00782A84"/>
    <w:rsid w:val="00852253"/>
    <w:rsid w:val="00865B5C"/>
    <w:rsid w:val="00890E8D"/>
    <w:rsid w:val="008B008C"/>
    <w:rsid w:val="008E265C"/>
    <w:rsid w:val="00911831"/>
    <w:rsid w:val="009875B9"/>
    <w:rsid w:val="009E4872"/>
    <w:rsid w:val="00A61FB5"/>
    <w:rsid w:val="00A9745E"/>
    <w:rsid w:val="00AA0899"/>
    <w:rsid w:val="00AB4F40"/>
    <w:rsid w:val="00AC2627"/>
    <w:rsid w:val="00AF20DE"/>
    <w:rsid w:val="00B172F9"/>
    <w:rsid w:val="00B23614"/>
    <w:rsid w:val="00B2632D"/>
    <w:rsid w:val="00B35D0F"/>
    <w:rsid w:val="00B54CAD"/>
    <w:rsid w:val="00B65D53"/>
    <w:rsid w:val="00B73AF7"/>
    <w:rsid w:val="00B77929"/>
    <w:rsid w:val="00B92D91"/>
    <w:rsid w:val="00BA5741"/>
    <w:rsid w:val="00BC4FD8"/>
    <w:rsid w:val="00BD1419"/>
    <w:rsid w:val="00BE078A"/>
    <w:rsid w:val="00BF0C26"/>
    <w:rsid w:val="00CA43E1"/>
    <w:rsid w:val="00CC34A4"/>
    <w:rsid w:val="00E06A36"/>
    <w:rsid w:val="00E06F7C"/>
    <w:rsid w:val="00E16C8A"/>
    <w:rsid w:val="00E6526D"/>
    <w:rsid w:val="00E750C9"/>
    <w:rsid w:val="00E85CE6"/>
    <w:rsid w:val="00E8728B"/>
    <w:rsid w:val="00EB2778"/>
    <w:rsid w:val="00EE2FBF"/>
    <w:rsid w:val="00EE6E84"/>
    <w:rsid w:val="00F33E63"/>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25F"/>
    <w:pPr>
      <w:ind w:firstLine="720"/>
    </w:pPr>
  </w:style>
  <w:style w:type="paragraph" w:styleId="Heading4">
    <w:name w:val="heading 4"/>
    <w:basedOn w:val="Normal"/>
    <w:next w:val="Normal"/>
    <w:link w:val="Heading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AF7"/>
  </w:style>
  <w:style w:type="paragraph" w:styleId="Footer">
    <w:name w:val="footer"/>
    <w:basedOn w:val="Normal"/>
    <w:link w:val="FooterChar"/>
    <w:uiPriority w:val="99"/>
    <w:unhideWhenUsed/>
    <w:rsid w:val="00B73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AF7"/>
  </w:style>
  <w:style w:type="paragraph" w:styleId="NormalWeb">
    <w:name w:val="Normal (Web)"/>
    <w:basedOn w:val="Normal"/>
    <w:uiPriority w:val="99"/>
    <w:semiHidden/>
    <w:unhideWhenUsed/>
    <w:rsid w:val="002E425F"/>
    <w:rPr>
      <w:rFonts w:cs="Times New Roman"/>
      <w:szCs w:val="24"/>
    </w:rPr>
  </w:style>
  <w:style w:type="character" w:customStyle="1" w:styleId="Heading4Char">
    <w:name w:val="Heading 4 Char"/>
    <w:basedOn w:val="DefaultParagraphFont"/>
    <w:link w:val="Heading4"/>
    <w:uiPriority w:val="9"/>
    <w:semiHidden/>
    <w:rsid w:val="002E425F"/>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E06F7C"/>
    <w:rPr>
      <w:color w:val="0563C1" w:themeColor="hyperlink"/>
      <w:u w:val="single"/>
    </w:rPr>
  </w:style>
  <w:style w:type="character" w:styleId="UnresolvedMention">
    <w:name w:val="Unresolved Mention"/>
    <w:basedOn w:val="DefaultParagraphFont"/>
    <w:uiPriority w:val="99"/>
    <w:semiHidden/>
    <w:unhideWhenUsed/>
    <w:rsid w:val="00E06F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179929012">
      <w:bodyDiv w:val="1"/>
      <w:marLeft w:val="0"/>
      <w:marRight w:val="0"/>
      <w:marTop w:val="0"/>
      <w:marBottom w:val="0"/>
      <w:divBdr>
        <w:top w:val="none" w:sz="0" w:space="0" w:color="auto"/>
        <w:left w:val="none" w:sz="0" w:space="0" w:color="auto"/>
        <w:bottom w:val="none" w:sz="0" w:space="0" w:color="auto"/>
        <w:right w:val="none" w:sz="0" w:space="0" w:color="auto"/>
      </w:divBdr>
      <w:divsChild>
        <w:div w:id="773281241">
          <w:marLeft w:val="0"/>
          <w:marRight w:val="0"/>
          <w:marTop w:val="0"/>
          <w:marBottom w:val="0"/>
          <w:divBdr>
            <w:top w:val="none" w:sz="0" w:space="0" w:color="auto"/>
            <w:left w:val="none" w:sz="0" w:space="0" w:color="auto"/>
            <w:bottom w:val="none" w:sz="0" w:space="0" w:color="auto"/>
            <w:right w:val="none" w:sz="0" w:space="0" w:color="auto"/>
          </w:divBdr>
          <w:divsChild>
            <w:div w:id="106097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6431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165642">
      <w:bodyDiv w:val="1"/>
      <w:marLeft w:val="0"/>
      <w:marRight w:val="0"/>
      <w:marTop w:val="0"/>
      <w:marBottom w:val="0"/>
      <w:divBdr>
        <w:top w:val="none" w:sz="0" w:space="0" w:color="auto"/>
        <w:left w:val="none" w:sz="0" w:space="0" w:color="auto"/>
        <w:bottom w:val="none" w:sz="0" w:space="0" w:color="auto"/>
        <w:right w:val="none" w:sz="0" w:space="0" w:color="auto"/>
      </w:divBdr>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029451264">
      <w:bodyDiv w:val="1"/>
      <w:marLeft w:val="0"/>
      <w:marRight w:val="0"/>
      <w:marTop w:val="0"/>
      <w:marBottom w:val="0"/>
      <w:divBdr>
        <w:top w:val="none" w:sz="0" w:space="0" w:color="auto"/>
        <w:left w:val="none" w:sz="0" w:space="0" w:color="auto"/>
        <w:bottom w:val="none" w:sz="0" w:space="0" w:color="auto"/>
        <w:right w:val="none" w:sz="0" w:space="0" w:color="auto"/>
      </w:divBdr>
      <w:divsChild>
        <w:div w:id="1920019050">
          <w:marLeft w:val="0"/>
          <w:marRight w:val="0"/>
          <w:marTop w:val="0"/>
          <w:marBottom w:val="0"/>
          <w:divBdr>
            <w:top w:val="none" w:sz="0" w:space="0" w:color="auto"/>
            <w:left w:val="none" w:sz="0" w:space="0" w:color="auto"/>
            <w:bottom w:val="none" w:sz="0" w:space="0" w:color="auto"/>
            <w:right w:val="none" w:sz="0" w:space="0" w:color="auto"/>
          </w:divBdr>
          <w:divsChild>
            <w:div w:id="84162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5</Pages>
  <Words>1130</Words>
  <Characters>6446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7561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Abdulrahman Mudheb Saleh Albabakri</cp:lastModifiedBy>
  <cp:revision>5</cp:revision>
  <dcterms:created xsi:type="dcterms:W3CDTF">2026-06-07T18:19:00Z</dcterms:created>
  <dcterms:modified xsi:type="dcterms:W3CDTF">2026-06-07T19:14:00Z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