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4849B" w14:textId="35DFA6D0" w:rsidR="00CC34A4" w:rsidRPr="00430A3C" w:rsidRDefault="00CC34A4" w:rsidP="00430A3C">
      <w:pPr>
        <w:spacing w:line="480" w:lineRule="auto"/>
      </w:pPr>
    </w:p>
    <w:p w14:paraId="600F4337" w14:textId="44928406" w:rsidR="00B73AF7" w:rsidRPr="00430A3C" w:rsidRDefault="00B73AF7" w:rsidP="00430A3C">
      <w:pPr>
        <w:spacing w:line="480" w:lineRule="auto"/>
      </w:pPr>
    </w:p>
    <w:p w14:paraId="43DFBB5D" w14:textId="7923A8D0" w:rsidR="00B73AF7" w:rsidRDefault="00B73AF7" w:rsidP="00430A3C">
      <w:pPr>
        <w:spacing w:line="480" w:lineRule="auto"/>
      </w:pPr>
    </w:p>
    <w:p w14:paraId="7AD2BEA4" w14:textId="77777777" w:rsidR="002E425F" w:rsidRPr="00430A3C" w:rsidRDefault="002E425F" w:rsidP="00430A3C">
      <w:pPr>
        <w:spacing w:line="480" w:lineRule="auto"/>
      </w:pPr>
    </w:p>
    <w:p w14:paraId="4BA2B24D" w14:textId="3B3BB99C" w:rsidR="00B73AF7" w:rsidRPr="002E425F" w:rsidRDefault="00647600" w:rsidP="002E425F">
      <w:pPr>
        <w:spacing w:after="0" w:line="480" w:lineRule="auto"/>
        <w:jc w:val="center"/>
        <w:rPr>
          <w:rFonts w:cs="Times New Roman"/>
          <w:b/>
          <w:szCs w:val="24"/>
          <w:lang w:val="en-GB"/>
        </w:rPr>
      </w:pPr>
      <w:r>
        <w:rPr>
          <w:rFonts w:cs="Times New Roman"/>
          <w:b/>
          <w:szCs w:val="24"/>
          <w:lang w:val="en-GB"/>
        </w:rPr>
        <w:t xml:space="preserve">Final </w:t>
      </w:r>
      <w:r w:rsidR="00B73AF7" w:rsidRPr="002E425F">
        <w:rPr>
          <w:rFonts w:cs="Times New Roman"/>
          <w:b/>
          <w:szCs w:val="24"/>
          <w:lang w:val="en-GB"/>
        </w:rPr>
        <w:t xml:space="preserve">Reflective </w:t>
      </w:r>
      <w:r w:rsidR="00B54CAD" w:rsidRPr="002E425F">
        <w:rPr>
          <w:rFonts w:cs="Times New Roman"/>
          <w:b/>
          <w:szCs w:val="24"/>
          <w:lang w:val="en-GB"/>
        </w:rPr>
        <w:t xml:space="preserve">Journal </w:t>
      </w:r>
      <w:r w:rsidR="00B73AF7" w:rsidRPr="002E425F">
        <w:rPr>
          <w:rFonts w:cs="Times New Roman"/>
          <w:b/>
          <w:szCs w:val="24"/>
          <w:lang w:val="en-GB"/>
        </w:rPr>
        <w:t>Entry</w:t>
      </w:r>
    </w:p>
    <w:p w14:paraId="77F1BCFE" w14:textId="77777777" w:rsidR="00B54CAD" w:rsidRDefault="00B54CAD" w:rsidP="00430A3C">
      <w:pPr>
        <w:spacing w:line="480" w:lineRule="auto"/>
        <w:jc w:val="center"/>
      </w:pPr>
    </w:p>
    <w:p w14:paraId="3347D2B3" w14:textId="77777777" w:rsidR="002E425F" w:rsidRDefault="002E425F" w:rsidP="002E425F">
      <w:pPr>
        <w:spacing w:after="0" w:line="480" w:lineRule="auto"/>
        <w:jc w:val="center"/>
        <w:rPr>
          <w:rFonts w:cs="Times New Roman"/>
          <w:szCs w:val="24"/>
          <w:lang w:val="en-GB"/>
        </w:rPr>
      </w:pPr>
      <w:r>
        <w:rPr>
          <w:rFonts w:cs="Times New Roman"/>
          <w:szCs w:val="24"/>
          <w:lang w:val="en-GB"/>
        </w:rPr>
        <w:t>Abdulrahman Albabakri, 025302</w:t>
      </w:r>
    </w:p>
    <w:p w14:paraId="656AE448" w14:textId="77777777" w:rsidR="002E425F" w:rsidRPr="00781C64" w:rsidRDefault="002E425F" w:rsidP="002E425F">
      <w:pPr>
        <w:spacing w:after="0" w:line="480" w:lineRule="auto"/>
        <w:jc w:val="center"/>
        <w:rPr>
          <w:rFonts w:cs="Times New Roman"/>
          <w:szCs w:val="24"/>
          <w:lang w:val="en-GB"/>
        </w:rPr>
      </w:pPr>
      <w:r w:rsidRPr="00A45058">
        <w:rPr>
          <w:rFonts w:cs="Times New Roman"/>
          <w:szCs w:val="24"/>
          <w:lang w:val="en-GB"/>
        </w:rPr>
        <w:t>Emirates College for Advanced Education</w:t>
      </w:r>
    </w:p>
    <w:p w14:paraId="254C9ED7" w14:textId="7081D3A4" w:rsidR="002E425F" w:rsidRPr="002E425F" w:rsidRDefault="00FC60AA" w:rsidP="002E425F">
      <w:pPr>
        <w:spacing w:after="0" w:line="480" w:lineRule="auto"/>
        <w:jc w:val="center"/>
        <w:rPr>
          <w:rFonts w:cs="Times New Roman"/>
          <w:szCs w:val="24"/>
          <w:lang w:val="en-AE"/>
        </w:rPr>
      </w:pPr>
      <w:r w:rsidRPr="00FC60AA">
        <w:rPr>
          <w:rFonts w:cs="Times New Roman"/>
          <w:szCs w:val="24"/>
          <w:lang w:val="en-AE"/>
        </w:rPr>
        <w:t>EDUSPPP</w:t>
      </w:r>
      <w:r w:rsidR="00CA43E1">
        <w:rPr>
          <w:rFonts w:cs="Times New Roman"/>
          <w:szCs w:val="24"/>
          <w:lang w:val="en-AE"/>
        </w:rPr>
        <w:t>3</w:t>
      </w:r>
      <w:r w:rsidR="002E425F">
        <w:rPr>
          <w:rFonts w:cs="Times New Roman"/>
          <w:szCs w:val="24"/>
          <w:lang w:val="en-GB"/>
        </w:rPr>
        <w:t xml:space="preserve">: </w:t>
      </w:r>
      <w:r w:rsidR="002E425F" w:rsidRPr="002E425F">
        <w:rPr>
          <w:lang w:val="en-AE"/>
        </w:rPr>
        <w:t>Secondary Professional Practice Placement</w:t>
      </w:r>
      <w:r w:rsidR="00CA43E1">
        <w:rPr>
          <w:lang w:val="en-AE"/>
        </w:rPr>
        <w:t xml:space="preserve"> </w:t>
      </w:r>
      <w:r w:rsidR="002E425F" w:rsidRPr="002E425F">
        <w:rPr>
          <w:lang w:val="en-AE"/>
        </w:rPr>
        <w:t>(SPPP</w:t>
      </w:r>
      <w:r w:rsidR="00CA43E1">
        <w:rPr>
          <w:lang w:val="en-AE"/>
        </w:rPr>
        <w:t>3</w:t>
      </w:r>
      <w:r w:rsidR="002E425F" w:rsidRPr="002E425F">
        <w:rPr>
          <w:lang w:val="en-AE"/>
        </w:rPr>
        <w:t xml:space="preserve">) </w:t>
      </w:r>
    </w:p>
    <w:p w14:paraId="207DB24C" w14:textId="4C2F059C" w:rsidR="002E425F" w:rsidRPr="002E425F" w:rsidRDefault="002E425F" w:rsidP="002E425F">
      <w:pPr>
        <w:spacing w:line="480" w:lineRule="auto"/>
        <w:jc w:val="center"/>
        <w:rPr>
          <w:rFonts w:cs="Times New Roman"/>
          <w:szCs w:val="24"/>
          <w:lang w:val="en-GB"/>
        </w:rPr>
      </w:pPr>
      <w:r w:rsidRPr="00730BCA">
        <w:rPr>
          <w:rFonts w:cs="Times New Roman"/>
          <w:szCs w:val="24"/>
          <w:lang w:val="en-GB"/>
        </w:rPr>
        <w:t xml:space="preserve">Dr. </w:t>
      </w:r>
      <w:r w:rsidRPr="002E425F">
        <w:rPr>
          <w:rFonts w:cs="Times New Roman"/>
          <w:szCs w:val="24"/>
          <w:lang w:val="en-GB"/>
        </w:rPr>
        <w:t>Dean Cairns</w:t>
      </w:r>
    </w:p>
    <w:p w14:paraId="112DCBA7" w14:textId="047A8925" w:rsidR="002E425F" w:rsidRPr="00781C64" w:rsidRDefault="00CA43E1" w:rsidP="002E425F">
      <w:pPr>
        <w:spacing w:after="0" w:line="480" w:lineRule="auto"/>
        <w:jc w:val="center"/>
        <w:rPr>
          <w:rFonts w:cs="Times New Roman"/>
          <w:szCs w:val="24"/>
          <w:lang w:val="en-GB"/>
        </w:rPr>
      </w:pPr>
      <w:r>
        <w:rPr>
          <w:rFonts w:cs="Times New Roman"/>
          <w:szCs w:val="24"/>
          <w:lang w:val="en-GB"/>
        </w:rPr>
        <w:t>June</w:t>
      </w:r>
      <w:r w:rsidR="002E425F">
        <w:rPr>
          <w:rFonts w:cs="Times New Roman"/>
          <w:szCs w:val="24"/>
          <w:lang w:val="en-GB"/>
        </w:rPr>
        <w:t xml:space="preserve"> </w:t>
      </w:r>
      <w:r w:rsidR="00647600">
        <w:rPr>
          <w:rFonts w:cs="Times New Roman"/>
          <w:szCs w:val="24"/>
          <w:lang w:val="en-GB"/>
        </w:rPr>
        <w:t>21</w:t>
      </w:r>
      <w:r w:rsidR="002E425F">
        <w:rPr>
          <w:rFonts w:cs="Times New Roman"/>
          <w:szCs w:val="24"/>
          <w:lang w:val="en-GB"/>
        </w:rPr>
        <w:t xml:space="preserve">, </w:t>
      </w:r>
      <w:r w:rsidR="002E425F" w:rsidRPr="00A45058">
        <w:rPr>
          <w:rFonts w:cs="Times New Roman"/>
          <w:szCs w:val="24"/>
          <w:lang w:val="en-GB"/>
        </w:rPr>
        <w:t>202</w:t>
      </w:r>
      <w:r w:rsidR="005D1B08">
        <w:rPr>
          <w:rFonts w:cs="Times New Roman"/>
          <w:szCs w:val="24"/>
          <w:lang w:val="en-GB"/>
        </w:rPr>
        <w:t>6</w:t>
      </w:r>
    </w:p>
    <w:p w14:paraId="21688A3F" w14:textId="77777777" w:rsidR="00B73AF7" w:rsidRPr="00430A3C" w:rsidRDefault="00B73AF7" w:rsidP="00430A3C">
      <w:pPr>
        <w:spacing w:line="480" w:lineRule="auto"/>
      </w:pPr>
      <w:r w:rsidRPr="00430A3C">
        <w:br w:type="page"/>
      </w:r>
    </w:p>
    <w:p w14:paraId="6BED40A3" w14:textId="77777777" w:rsidR="00EE2FBF" w:rsidRPr="00EE2FBF" w:rsidRDefault="00EE2FBF" w:rsidP="001A77F2">
      <w:pPr>
        <w:spacing w:line="360" w:lineRule="auto"/>
      </w:pPr>
      <w:r w:rsidRPr="00EE2FBF">
        <w:rPr>
          <w:b/>
          <w:bCs/>
        </w:rPr>
        <w:lastRenderedPageBreak/>
        <w:t>Description</w:t>
      </w:r>
    </w:p>
    <w:p w14:paraId="43920BD9" w14:textId="77777777" w:rsidR="00C66211" w:rsidRDefault="000B3D4E" w:rsidP="000B3D4E">
      <w:pPr>
        <w:spacing w:line="360" w:lineRule="auto"/>
      </w:pPr>
      <w:r w:rsidRPr="000B3D4E">
        <w:t xml:space="preserve">I completed my Secondary Professional Practice Placement (SPPP3) at Al Qudra Government School, where I was responsible for teaching Grade 11 General Chemistry. Under the daily mentorship of Mr. Hatem and the faculty guidance of Dr. Dean Cairns, I designed and delivered a series of inquiry-based lessons covering synthesis, single-replacement, double-replacement, combustion, and decomposition reactions. </w:t>
      </w:r>
    </w:p>
    <w:p w14:paraId="42B50663" w14:textId="6F62FD08" w:rsidR="000B3D4E" w:rsidRDefault="000B3D4E" w:rsidP="000B3D4E">
      <w:pPr>
        <w:spacing w:line="360" w:lineRule="auto"/>
      </w:pPr>
      <w:r w:rsidRPr="000B3D4E">
        <w:t xml:space="preserve">Throughout this practicum, my instructional methodology relied heavily on bridging macroscopic observations with microscopic chemical processes. To achieve this, I integrated hands-on physical demonstrations—such as burning magnesium ribbon or decomposing hydrogen peroxide—with interactive digital simulations like </w:t>
      </w:r>
      <w:proofErr w:type="spellStart"/>
      <w:r w:rsidRPr="000B3D4E">
        <w:t>PhET</w:t>
      </w:r>
      <w:proofErr w:type="spellEnd"/>
      <w:r w:rsidRPr="000B3D4E">
        <w:t>. This reflection utilizes the adapted Gibb’s reflective cycle to document my pedagogical growth across three critical domains of the National Educators Competency Framework: Effective Professional, Future Cultivator, and Community Collaborator.</w:t>
      </w:r>
    </w:p>
    <w:p w14:paraId="51CA83D9" w14:textId="38D79D29" w:rsidR="00EE2FBF" w:rsidRPr="004B2BDC" w:rsidRDefault="00EE2FBF" w:rsidP="001A77F2">
      <w:pPr>
        <w:spacing w:line="360" w:lineRule="auto"/>
      </w:pPr>
      <w:r w:rsidRPr="004B2BDC">
        <w:rPr>
          <w:b/>
          <w:bCs/>
        </w:rPr>
        <w:t>Evaluation</w:t>
      </w:r>
    </w:p>
    <w:p w14:paraId="4921A9C1" w14:textId="3539F20E" w:rsidR="00B72CA4" w:rsidRDefault="00B72CA4" w:rsidP="00B72CA4">
      <w:pPr>
        <w:spacing w:line="360" w:lineRule="auto"/>
      </w:pPr>
      <w:r>
        <w:t>When evaluating my development as an Effective Professional, a significant success was establishing a rigorous balance between formative and summative assessment. I successfully implemented a strict "no-hands up" questioning policy and utilized intentional wait times of up to seven seconds, which effectively maximized student engagement and provided them with the necessary cognitive space to formulate accurate answers. Furthermore, my faculty mentor commended my clear conceptual progression and my use of gradual release modeling when teaching students how to balance equations. However, I struggled with differentiated pacing; fast-finishing students like Rashid, Omar, and Zayed frequently completed tasks early and lost academic focus during the resulting downtime.</w:t>
      </w:r>
    </w:p>
    <w:p w14:paraId="2B7A34EB" w14:textId="77777777" w:rsidR="00B72CA4" w:rsidRDefault="00B72CA4" w:rsidP="00B72CA4">
      <w:pPr>
        <w:spacing w:line="360" w:lineRule="auto"/>
      </w:pPr>
      <w:r>
        <w:t>As a Future Cultivator, I successfully integrated technological tools to make abstract concepts concrete. Using digital simulations allowed students to visually observe the mechanics of elements swapping in single-replacement reactions before I introduced formal algebraic formulas. By validating intuitive student observations, I actively built their academic confidence. Despite these successes, the use of classroom tablets occasionally caused pacing issues and distractions, with students navigating away from their digital worksheets to explore other applications.</w:t>
      </w:r>
    </w:p>
    <w:p w14:paraId="0A4CF31E" w14:textId="77777777" w:rsidR="00B72CA4" w:rsidRDefault="00B72CA4" w:rsidP="00B72CA4">
      <w:pPr>
        <w:spacing w:line="360" w:lineRule="auto"/>
      </w:pPr>
    </w:p>
    <w:p w14:paraId="6191E504" w14:textId="45176DE9" w:rsidR="006B1735" w:rsidRDefault="00B72CA4" w:rsidP="00B72CA4">
      <w:pPr>
        <w:spacing w:line="360" w:lineRule="auto"/>
      </w:pPr>
      <w:r>
        <w:lastRenderedPageBreak/>
        <w:t>In my capacity as a Community Collaborator, I actively facilitated collaborative group work, but managing peer-to-peer dynamics proved challenging. In certain groups, individual students dominated the decision-making process, which severely limited opportunities for others to contribute. Furthermore, while teacher-led discussions were academically rigorous, students frequently reverted to colloquial terms during peer-to-peer interactions, describing chemical decomposition as "taking apart Lego blocks" rather than using subject-specific vocabulary.</w:t>
      </w:r>
    </w:p>
    <w:p w14:paraId="3F7AE568" w14:textId="77777777" w:rsidR="006B1735" w:rsidRPr="006B1735" w:rsidRDefault="006B1735" w:rsidP="006B1735">
      <w:pPr>
        <w:spacing w:line="360" w:lineRule="auto"/>
        <w:rPr>
          <w:lang w:val="en-AE"/>
        </w:rPr>
      </w:pPr>
    </w:p>
    <w:p w14:paraId="01EB3C14" w14:textId="77187A9C" w:rsidR="00EE2FBF" w:rsidRPr="00890E8D" w:rsidRDefault="00EE2FBF" w:rsidP="001A77F2">
      <w:pPr>
        <w:spacing w:line="360" w:lineRule="auto"/>
      </w:pPr>
      <w:r w:rsidRPr="00890E8D">
        <w:rPr>
          <w:b/>
          <w:bCs/>
        </w:rPr>
        <w:t>Analysis</w:t>
      </w:r>
    </w:p>
    <w:p w14:paraId="2DFD3328" w14:textId="049D0DAF" w:rsidR="00253EDB" w:rsidRDefault="00253EDB" w:rsidP="001A77F2">
      <w:pPr>
        <w:spacing w:line="360" w:lineRule="auto"/>
      </w:pPr>
      <w:r>
        <w:t xml:space="preserve">Analyzing these experiences through the lens of course literature reveals the deep complexities of managing cognitive load and fostering metacognitive regulation. The effectiveness of </w:t>
      </w:r>
      <w:proofErr w:type="gramStart"/>
      <w:r>
        <w:t>the visual</w:t>
      </w:r>
      <w:proofErr w:type="gramEnd"/>
      <w:r>
        <w:t xml:space="preserve"> analogies and digital simulations aligns seamlessly with the framework of effective practical work proposed by Abrahams (2017). Meaningful science learning requires bridging the domain of observable events with the domain of abstract scientific ideas to ensure "minds-on" rather than just "hands-on" engagement. By anchoring new concepts like decomposition to prior knowledge of synthesis reactions, I provided a strong cognitive scaffold that managed their learning load, supporting Hattie and Clarke's (2018) assertion that ascertaining prior knowledge is the primary factor influencing learning.</w:t>
      </w:r>
    </w:p>
    <w:p w14:paraId="700CEB95" w14:textId="65A05ED8" w:rsidR="00911831" w:rsidRDefault="00253EDB" w:rsidP="001A77F2">
      <w:pPr>
        <w:spacing w:line="360" w:lineRule="auto"/>
      </w:pPr>
      <w:r>
        <w:t>Conversely, my challenges with group equity and academic vocabulary highlight a breakdown in metacognitive self-regulation. While collaborative tasks are essential for developing scientific reasoning, Finlayson (n.d.) and Harrison (2014) note that students often lack the necessary self-regulatory skills to manage group participation equitably without explicit instruction. According to the Education Endowment Foundation (2018), dialogic interactions must be intentional and supported; otherwise, students cannot independently sustain academic fluency. Additionally, when scaffolding for struggling learners, I occasionally reduced the cognitive rigor by using a "funneling" technique—asking closed, binary questions that essentially turned answers into a 50/50 guess—which fails to push the student toward deep, relational understanding (Hattie &amp; Clarke, 2018).</w:t>
      </w:r>
    </w:p>
    <w:p w14:paraId="4392FE21" w14:textId="77777777" w:rsidR="00253EDB" w:rsidRDefault="00253EDB" w:rsidP="00253EDB">
      <w:pPr>
        <w:spacing w:line="360" w:lineRule="auto"/>
        <w:ind w:firstLine="0"/>
      </w:pPr>
    </w:p>
    <w:p w14:paraId="2872FDAF" w14:textId="77777777" w:rsidR="00253EDB" w:rsidRDefault="00253EDB" w:rsidP="00253EDB">
      <w:pPr>
        <w:spacing w:line="360" w:lineRule="auto"/>
        <w:ind w:firstLine="0"/>
      </w:pPr>
    </w:p>
    <w:p w14:paraId="7772E442" w14:textId="77777777" w:rsidR="001A77F2" w:rsidRDefault="001A77F2" w:rsidP="00253EDB">
      <w:pPr>
        <w:spacing w:line="360" w:lineRule="auto"/>
        <w:ind w:firstLine="0"/>
      </w:pPr>
    </w:p>
    <w:p w14:paraId="6669DA9C" w14:textId="77777777" w:rsidR="001A77F2" w:rsidRDefault="001A77F2" w:rsidP="001A77F2">
      <w:pPr>
        <w:spacing w:line="360" w:lineRule="auto"/>
        <w:rPr>
          <w:b/>
          <w:bCs/>
        </w:rPr>
      </w:pPr>
      <w:proofErr w:type="gramStart"/>
      <w:r w:rsidRPr="001A77F2">
        <w:rPr>
          <w:b/>
          <w:bCs/>
        </w:rPr>
        <w:lastRenderedPageBreak/>
        <w:t>Plan for the Future</w:t>
      </w:r>
      <w:proofErr w:type="gramEnd"/>
    </w:p>
    <w:p w14:paraId="07A3FBE5" w14:textId="7D210378" w:rsidR="001A77F2" w:rsidRDefault="001A77F2" w:rsidP="001A77F2">
      <w:pPr>
        <w:spacing w:line="360" w:lineRule="auto"/>
      </w:pPr>
      <w:r>
        <w:t>To continue evolving as an Effective Professional, I will carefully plan my scaffolding questions in advance to ensure they maintain cognitive rigor. When students struggle, I will utilize open-ended prompts that encourage them to access prior knowledge, such as solubility rules, rather than lowering the cognitive demand. I will also redesign my lesson plenaries to be more prominent, ensuring I thoroughly check that all students understand the key learning points before concluding the session.</w:t>
      </w:r>
    </w:p>
    <w:p w14:paraId="4C4948A0" w14:textId="38A7DD9E" w:rsidR="001A77F2" w:rsidRDefault="001A77F2" w:rsidP="001A77F2">
      <w:pPr>
        <w:spacing w:line="360" w:lineRule="auto"/>
      </w:pPr>
      <w:r>
        <w:t>To enhance my skills as a Future Cultivator, I must establish stricter technology routines to mitigate distractions. I will implement a "screens down" or "tablets flat" routine whenever I am delivering whole-class instructions. To build upon the students' high enjoyment of hands-on learning, I plan to introduce safe, student-designed mini-experiments into future lessons.</w:t>
      </w:r>
    </w:p>
    <w:p w14:paraId="43B5430E" w14:textId="32741178" w:rsidR="006B1735" w:rsidRDefault="001A77F2" w:rsidP="001A77F2">
      <w:pPr>
        <w:spacing w:line="360" w:lineRule="auto"/>
      </w:pPr>
      <w:r>
        <w:t xml:space="preserve">Finally, to improve as a Community Collaborator, I will explicitly teach metacognitive strategies, as advocated by Tanner (2012) and </w:t>
      </w:r>
      <w:proofErr w:type="spellStart"/>
      <w:r>
        <w:t>Avargil</w:t>
      </w:r>
      <w:proofErr w:type="spellEnd"/>
      <w:r>
        <w:t xml:space="preserve"> et al. (2018), to shift evaluative responsibility from myself to the students. I will enforce equitable participation by assigning specific, rotating roles within collaborative groups. Furthermore, I will provide physical scaffolding, such as talk cards and visual vocabulary banks at the lab benches, empowering students to hold each other accountable for using formal academic language during independent group work.</w:t>
      </w:r>
    </w:p>
    <w:p w14:paraId="22F37C82" w14:textId="77777777" w:rsidR="006B1735" w:rsidRDefault="006B1735" w:rsidP="006B1735">
      <w:pPr>
        <w:spacing w:line="360" w:lineRule="auto"/>
      </w:pPr>
    </w:p>
    <w:p w14:paraId="794A24AC" w14:textId="77777777" w:rsidR="006B1735" w:rsidRDefault="006B1735" w:rsidP="006B1735">
      <w:pPr>
        <w:spacing w:line="360" w:lineRule="auto"/>
      </w:pPr>
    </w:p>
    <w:p w14:paraId="0E515957" w14:textId="77777777" w:rsidR="006B1735" w:rsidRDefault="006B1735" w:rsidP="006B1735">
      <w:pPr>
        <w:spacing w:line="360" w:lineRule="auto"/>
      </w:pPr>
    </w:p>
    <w:p w14:paraId="7C5B7B25" w14:textId="77777777" w:rsidR="006B1735" w:rsidRDefault="006B1735" w:rsidP="006B1735">
      <w:pPr>
        <w:spacing w:line="360" w:lineRule="auto"/>
      </w:pPr>
    </w:p>
    <w:p w14:paraId="25DE69D4" w14:textId="77777777" w:rsidR="006B1735" w:rsidRDefault="006B1735" w:rsidP="006B1735">
      <w:pPr>
        <w:spacing w:line="360" w:lineRule="auto"/>
      </w:pPr>
    </w:p>
    <w:p w14:paraId="5D6A37D8" w14:textId="77777777" w:rsidR="006B1735" w:rsidRDefault="006B1735" w:rsidP="006B1735">
      <w:pPr>
        <w:spacing w:line="360" w:lineRule="auto"/>
      </w:pPr>
    </w:p>
    <w:p w14:paraId="00376873" w14:textId="77777777" w:rsidR="006B1735" w:rsidRDefault="006B1735" w:rsidP="006B1735">
      <w:pPr>
        <w:spacing w:line="360" w:lineRule="auto"/>
      </w:pPr>
    </w:p>
    <w:p w14:paraId="0F653CAD" w14:textId="77777777" w:rsidR="006B1735" w:rsidRDefault="006B1735" w:rsidP="00B92D91">
      <w:pPr>
        <w:spacing w:line="360" w:lineRule="auto"/>
        <w:ind w:firstLine="0"/>
      </w:pPr>
    </w:p>
    <w:p w14:paraId="1E241503" w14:textId="77777777" w:rsidR="0057386C" w:rsidRDefault="0057386C" w:rsidP="00B92D91">
      <w:pPr>
        <w:spacing w:line="360" w:lineRule="auto"/>
        <w:ind w:firstLine="0"/>
      </w:pPr>
    </w:p>
    <w:p w14:paraId="6A90727D" w14:textId="77777777" w:rsidR="00B92D91" w:rsidRDefault="00B92D91" w:rsidP="00B92D91">
      <w:pPr>
        <w:spacing w:line="360" w:lineRule="auto"/>
        <w:ind w:firstLine="0"/>
      </w:pPr>
    </w:p>
    <w:p w14:paraId="0C627CFA" w14:textId="587FC5AF" w:rsidR="00E750C9" w:rsidRPr="00E750C9" w:rsidRDefault="00E750C9" w:rsidP="006B1735">
      <w:pPr>
        <w:spacing w:line="360" w:lineRule="auto"/>
        <w:jc w:val="center"/>
      </w:pPr>
      <w:r w:rsidRPr="00E750C9">
        <w:rPr>
          <w:b/>
          <w:bCs/>
        </w:rPr>
        <w:lastRenderedPageBreak/>
        <w:t>References</w:t>
      </w:r>
    </w:p>
    <w:p w14:paraId="73F6F080" w14:textId="77777777" w:rsidR="006B1735" w:rsidRPr="006B1735" w:rsidRDefault="006B1735" w:rsidP="006B1735">
      <w:pPr>
        <w:spacing w:line="360" w:lineRule="auto"/>
        <w:ind w:left="720" w:hanging="720"/>
      </w:pPr>
      <w:r w:rsidRPr="006B1735">
        <w:t>Abrahams, I. (2017). Minds-on practical work for effective science learning. In K. S. Taber &amp; B. Akpan (Eds.), Science Education (pp. 403–413). Sense Publishers.</w:t>
      </w:r>
    </w:p>
    <w:p w14:paraId="447FE8A1" w14:textId="77777777" w:rsidR="006B1735" w:rsidRPr="006B1735" w:rsidRDefault="006B1735" w:rsidP="006B1735">
      <w:pPr>
        <w:spacing w:line="360" w:lineRule="auto"/>
        <w:ind w:left="720" w:hanging="720"/>
        <w:rPr>
          <w:lang w:val="en-AE"/>
        </w:rPr>
      </w:pPr>
      <w:r w:rsidRPr="006B1735">
        <w:rPr>
          <w:lang w:val="en-AE"/>
        </w:rPr>
        <w:t>Avargil, S., Lavi, R., &amp; Dori, Y. J. (2018). Students' metacognition and metacognitive strategies in science education. In Y. J. Dori et al. (Eds.), </w:t>
      </w:r>
      <w:r w:rsidRPr="006B1735">
        <w:rPr>
          <w:i/>
          <w:iCs/>
          <w:lang w:val="en-AE"/>
        </w:rPr>
        <w:t>Cognition, Metacognition, and Culture in STEM Education</w:t>
      </w:r>
      <w:r w:rsidRPr="006B1735">
        <w:rPr>
          <w:lang w:val="en-AE"/>
        </w:rPr>
        <w:t> (pp. 33–64). Springer.</w:t>
      </w:r>
    </w:p>
    <w:p w14:paraId="7A0C38E2" w14:textId="77777777" w:rsidR="006B1735" w:rsidRPr="006B1735" w:rsidRDefault="006B1735" w:rsidP="006B1735">
      <w:pPr>
        <w:spacing w:line="360" w:lineRule="auto"/>
        <w:ind w:left="720" w:hanging="720"/>
        <w:rPr>
          <w:lang w:val="en-AE"/>
        </w:rPr>
      </w:pPr>
      <w:r w:rsidRPr="006B1735">
        <w:rPr>
          <w:lang w:val="en-AE"/>
        </w:rPr>
        <w:t>Education Endowment Foundation. (2018). </w:t>
      </w:r>
      <w:r w:rsidRPr="006B1735">
        <w:rPr>
          <w:i/>
          <w:iCs/>
          <w:lang w:val="en-AE"/>
        </w:rPr>
        <w:t>Metacognition and self-regulated learning: Guidance report</w:t>
      </w:r>
      <w:r w:rsidRPr="006B1735">
        <w:rPr>
          <w:lang w:val="en-AE"/>
        </w:rPr>
        <w:t>.</w:t>
      </w:r>
    </w:p>
    <w:p w14:paraId="41EF327C" w14:textId="77777777" w:rsidR="006B1735" w:rsidRPr="006B1735" w:rsidRDefault="006B1735" w:rsidP="006B1735">
      <w:pPr>
        <w:spacing w:line="360" w:lineRule="auto"/>
        <w:ind w:left="720" w:hanging="720"/>
        <w:rPr>
          <w:lang w:val="en-AE"/>
        </w:rPr>
      </w:pPr>
      <w:r w:rsidRPr="006B1735">
        <w:rPr>
          <w:lang w:val="en-AE"/>
        </w:rPr>
        <w:t>Harrison, C. (2014). Assessment of inquiry skills in the SAILS project. </w:t>
      </w:r>
      <w:r w:rsidRPr="006B1735">
        <w:rPr>
          <w:i/>
          <w:iCs/>
          <w:lang w:val="en-AE"/>
        </w:rPr>
        <w:t>Science Education International, 25</w:t>
      </w:r>
      <w:r w:rsidRPr="006B1735">
        <w:rPr>
          <w:lang w:val="en-AE"/>
        </w:rPr>
        <w:t>(1), 112–122.</w:t>
      </w:r>
    </w:p>
    <w:p w14:paraId="1070869B" w14:textId="77777777" w:rsidR="006B1735" w:rsidRPr="006B1735" w:rsidRDefault="006B1735" w:rsidP="006B1735">
      <w:pPr>
        <w:spacing w:line="360" w:lineRule="auto"/>
        <w:ind w:left="720" w:hanging="720"/>
        <w:rPr>
          <w:lang w:val="en-AE"/>
        </w:rPr>
      </w:pPr>
      <w:r w:rsidRPr="006B1735">
        <w:rPr>
          <w:lang w:val="en-AE"/>
        </w:rPr>
        <w:t>Hattie, J., &amp; Clarke, S. (2018). </w:t>
      </w:r>
      <w:r w:rsidRPr="00B92D91">
        <w:rPr>
          <w:i/>
          <w:iCs/>
          <w:lang w:val="en-AE"/>
        </w:rPr>
        <w:t>Visible learning: Feedback.</w:t>
      </w:r>
      <w:r w:rsidRPr="006B1735">
        <w:rPr>
          <w:lang w:val="en-AE"/>
        </w:rPr>
        <w:t xml:space="preserve"> Routledge.</w:t>
      </w:r>
    </w:p>
    <w:p w14:paraId="47E8ADB1" w14:textId="77777777" w:rsidR="006B1735" w:rsidRPr="006B1735" w:rsidRDefault="006B1735" w:rsidP="006B1735">
      <w:pPr>
        <w:spacing w:line="360" w:lineRule="auto"/>
        <w:ind w:left="720" w:hanging="720"/>
        <w:rPr>
          <w:lang w:val="en-AE"/>
        </w:rPr>
      </w:pPr>
      <w:r w:rsidRPr="006B1735">
        <w:rPr>
          <w:lang w:val="en-AE"/>
        </w:rPr>
        <w:t>Tanner, K. D. (2012). Promoting student metacognition. </w:t>
      </w:r>
      <w:r w:rsidRPr="006B1735">
        <w:rPr>
          <w:i/>
          <w:iCs/>
          <w:lang w:val="en-AE"/>
        </w:rPr>
        <w:t>CBE—Life Sciences Education, 11</w:t>
      </w:r>
      <w:r w:rsidRPr="006B1735">
        <w:rPr>
          <w:lang w:val="en-AE"/>
        </w:rPr>
        <w:t>(2), 113–120.</w:t>
      </w:r>
    </w:p>
    <w:p w14:paraId="4B2DE363" w14:textId="77777777" w:rsidR="006B1735" w:rsidRDefault="006B1735" w:rsidP="00911831">
      <w:pPr>
        <w:spacing w:line="360" w:lineRule="auto"/>
        <w:ind w:left="720" w:hanging="720"/>
      </w:pPr>
    </w:p>
    <w:p w14:paraId="6E27D95F" w14:textId="77777777" w:rsidR="002E3FFA" w:rsidRPr="00430A3C" w:rsidRDefault="002E3FFA" w:rsidP="00430A3C">
      <w:pPr>
        <w:spacing w:line="480" w:lineRule="auto"/>
        <w:jc w:val="center"/>
      </w:pPr>
    </w:p>
    <w:p w14:paraId="302B103A" w14:textId="77777777" w:rsidR="00E6526D" w:rsidRPr="00430A3C" w:rsidRDefault="00E6526D" w:rsidP="00430A3C">
      <w:pPr>
        <w:spacing w:line="480" w:lineRule="auto"/>
      </w:pPr>
    </w:p>
    <w:p w14:paraId="0A095F25" w14:textId="77777777" w:rsidR="002974E0" w:rsidRPr="00430A3C" w:rsidRDefault="002974E0" w:rsidP="00430A3C">
      <w:pPr>
        <w:spacing w:line="480" w:lineRule="auto"/>
      </w:pPr>
    </w:p>
    <w:sectPr w:rsidR="002974E0" w:rsidRPr="00430A3C">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2E2F5" w14:textId="77777777" w:rsidR="009E6E61" w:rsidRDefault="009E6E61" w:rsidP="00B73AF7">
      <w:pPr>
        <w:spacing w:after="0" w:line="240" w:lineRule="auto"/>
      </w:pPr>
      <w:r>
        <w:separator/>
      </w:r>
    </w:p>
  </w:endnote>
  <w:endnote w:type="continuationSeparator" w:id="0">
    <w:p w14:paraId="6B1B6988" w14:textId="77777777" w:rsidR="009E6E61" w:rsidRDefault="009E6E61" w:rsidP="00B73A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339996" w14:textId="77777777" w:rsidR="009E6E61" w:rsidRDefault="009E6E61" w:rsidP="00B73AF7">
      <w:pPr>
        <w:spacing w:after="0" w:line="240" w:lineRule="auto"/>
      </w:pPr>
      <w:r>
        <w:separator/>
      </w:r>
    </w:p>
  </w:footnote>
  <w:footnote w:type="continuationSeparator" w:id="0">
    <w:p w14:paraId="39574014" w14:textId="77777777" w:rsidR="009E6E61" w:rsidRDefault="009E6E61" w:rsidP="00B73A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6096461"/>
      <w:docPartObj>
        <w:docPartGallery w:val="Page Numbers (Top of Page)"/>
        <w:docPartUnique/>
      </w:docPartObj>
    </w:sdtPr>
    <w:sdtEndPr>
      <w:rPr>
        <w:noProof/>
      </w:rPr>
    </w:sdtEndPr>
    <w:sdtContent>
      <w:p w14:paraId="52C40357" w14:textId="3BFE25F2" w:rsidR="00B73AF7" w:rsidRDefault="00B73AF7">
        <w:pPr>
          <w:pStyle w:val="Header"/>
          <w:jc w:val="right"/>
        </w:pPr>
        <w:r>
          <w:fldChar w:fldCharType="begin"/>
        </w:r>
        <w:r>
          <w:instrText xml:space="preserve"> PAGE   \* MERGEFORMAT </w:instrText>
        </w:r>
        <w:r>
          <w:fldChar w:fldCharType="separate"/>
        </w:r>
        <w:r w:rsidR="006D3FD2">
          <w:rPr>
            <w:noProof/>
          </w:rPr>
          <w:t>5</w:t>
        </w:r>
        <w:r>
          <w:rPr>
            <w:noProof/>
          </w:rPr>
          <w:fldChar w:fldCharType="end"/>
        </w:r>
      </w:p>
    </w:sdtContent>
  </w:sdt>
  <w:p w14:paraId="0CDD3C0B" w14:textId="77777777" w:rsidR="00B73AF7" w:rsidRDefault="00B73AF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AF7"/>
    <w:rsid w:val="00004C25"/>
    <w:rsid w:val="000215B1"/>
    <w:rsid w:val="000B3D4E"/>
    <w:rsid w:val="000D76BB"/>
    <w:rsid w:val="000E0FCF"/>
    <w:rsid w:val="000F7D03"/>
    <w:rsid w:val="00130B29"/>
    <w:rsid w:val="00136134"/>
    <w:rsid w:val="00187CF8"/>
    <w:rsid w:val="001A77F2"/>
    <w:rsid w:val="001F5A42"/>
    <w:rsid w:val="001F636C"/>
    <w:rsid w:val="00253EDB"/>
    <w:rsid w:val="0028403A"/>
    <w:rsid w:val="002974E0"/>
    <w:rsid w:val="002B7FE5"/>
    <w:rsid w:val="002C4E43"/>
    <w:rsid w:val="002D4D11"/>
    <w:rsid w:val="002E3FFA"/>
    <w:rsid w:val="002E425F"/>
    <w:rsid w:val="00343E63"/>
    <w:rsid w:val="00356196"/>
    <w:rsid w:val="00375630"/>
    <w:rsid w:val="00382DB4"/>
    <w:rsid w:val="00397A30"/>
    <w:rsid w:val="003A43BE"/>
    <w:rsid w:val="00430A2C"/>
    <w:rsid w:val="00430A3C"/>
    <w:rsid w:val="00432179"/>
    <w:rsid w:val="00485B94"/>
    <w:rsid w:val="004976E2"/>
    <w:rsid w:val="004A2426"/>
    <w:rsid w:val="004B2BDC"/>
    <w:rsid w:val="004D3B4C"/>
    <w:rsid w:val="004F157F"/>
    <w:rsid w:val="004F3916"/>
    <w:rsid w:val="00512B0B"/>
    <w:rsid w:val="0057386C"/>
    <w:rsid w:val="005C4C9C"/>
    <w:rsid w:val="005C6CE3"/>
    <w:rsid w:val="005D0201"/>
    <w:rsid w:val="005D1B08"/>
    <w:rsid w:val="005D6D72"/>
    <w:rsid w:val="005E5DD2"/>
    <w:rsid w:val="00647600"/>
    <w:rsid w:val="006522FB"/>
    <w:rsid w:val="006700A7"/>
    <w:rsid w:val="006B1735"/>
    <w:rsid w:val="006D3FD2"/>
    <w:rsid w:val="006F2A9D"/>
    <w:rsid w:val="006F36E1"/>
    <w:rsid w:val="006F55FF"/>
    <w:rsid w:val="00715313"/>
    <w:rsid w:val="00735EEA"/>
    <w:rsid w:val="007515A5"/>
    <w:rsid w:val="0076487B"/>
    <w:rsid w:val="00782A84"/>
    <w:rsid w:val="00852253"/>
    <w:rsid w:val="00865B5C"/>
    <w:rsid w:val="00890E8D"/>
    <w:rsid w:val="008B008C"/>
    <w:rsid w:val="008E265C"/>
    <w:rsid w:val="00911831"/>
    <w:rsid w:val="009875B9"/>
    <w:rsid w:val="009E4872"/>
    <w:rsid w:val="009E6E61"/>
    <w:rsid w:val="00A61FB5"/>
    <w:rsid w:val="00A9745E"/>
    <w:rsid w:val="00AA0899"/>
    <w:rsid w:val="00AB4F40"/>
    <w:rsid w:val="00AC2627"/>
    <w:rsid w:val="00AF20DE"/>
    <w:rsid w:val="00B172F9"/>
    <w:rsid w:val="00B23614"/>
    <w:rsid w:val="00B2632D"/>
    <w:rsid w:val="00B35D0F"/>
    <w:rsid w:val="00B54CAD"/>
    <w:rsid w:val="00B65D53"/>
    <w:rsid w:val="00B72CA4"/>
    <w:rsid w:val="00B73AF7"/>
    <w:rsid w:val="00B77929"/>
    <w:rsid w:val="00B92D91"/>
    <w:rsid w:val="00BA5741"/>
    <w:rsid w:val="00BC4FD8"/>
    <w:rsid w:val="00BD1419"/>
    <w:rsid w:val="00BD5C32"/>
    <w:rsid w:val="00BE078A"/>
    <w:rsid w:val="00BF0C26"/>
    <w:rsid w:val="00C66211"/>
    <w:rsid w:val="00CA43E1"/>
    <w:rsid w:val="00CC34A4"/>
    <w:rsid w:val="00E06A36"/>
    <w:rsid w:val="00E06F7C"/>
    <w:rsid w:val="00E16C8A"/>
    <w:rsid w:val="00E6526D"/>
    <w:rsid w:val="00E750C9"/>
    <w:rsid w:val="00E85CE6"/>
    <w:rsid w:val="00E8728B"/>
    <w:rsid w:val="00EB2778"/>
    <w:rsid w:val="00EE2FBF"/>
    <w:rsid w:val="00EE6E84"/>
    <w:rsid w:val="00F33E63"/>
    <w:rsid w:val="00FA25FE"/>
    <w:rsid w:val="00FA517A"/>
    <w:rsid w:val="00FB42EF"/>
    <w:rsid w:val="00FC60AA"/>
    <w:rsid w:val="00FE5D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EE8E3"/>
  <w15:docId w15:val="{4674D53C-533C-8C4F-BA06-2E30AC451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25F"/>
    <w:pPr>
      <w:ind w:firstLine="720"/>
    </w:pPr>
  </w:style>
  <w:style w:type="paragraph" w:styleId="Heading4">
    <w:name w:val="heading 4"/>
    <w:basedOn w:val="Normal"/>
    <w:next w:val="Normal"/>
    <w:link w:val="Heading4Char"/>
    <w:uiPriority w:val="9"/>
    <w:semiHidden/>
    <w:unhideWhenUsed/>
    <w:qFormat/>
    <w:rsid w:val="002E425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3A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3AF7"/>
  </w:style>
  <w:style w:type="paragraph" w:styleId="Footer">
    <w:name w:val="footer"/>
    <w:basedOn w:val="Normal"/>
    <w:link w:val="FooterChar"/>
    <w:uiPriority w:val="99"/>
    <w:unhideWhenUsed/>
    <w:rsid w:val="00B73A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3AF7"/>
  </w:style>
  <w:style w:type="paragraph" w:styleId="NormalWeb">
    <w:name w:val="Normal (Web)"/>
    <w:basedOn w:val="Normal"/>
    <w:uiPriority w:val="99"/>
    <w:semiHidden/>
    <w:unhideWhenUsed/>
    <w:rsid w:val="002E425F"/>
    <w:rPr>
      <w:rFonts w:cs="Times New Roman"/>
      <w:szCs w:val="24"/>
    </w:rPr>
  </w:style>
  <w:style w:type="character" w:customStyle="1" w:styleId="Heading4Char">
    <w:name w:val="Heading 4 Char"/>
    <w:basedOn w:val="DefaultParagraphFont"/>
    <w:link w:val="Heading4"/>
    <w:uiPriority w:val="9"/>
    <w:semiHidden/>
    <w:rsid w:val="002E425F"/>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E06F7C"/>
    <w:rPr>
      <w:color w:val="0563C1" w:themeColor="hyperlink"/>
      <w:u w:val="single"/>
    </w:rPr>
  </w:style>
  <w:style w:type="character" w:styleId="UnresolvedMention">
    <w:name w:val="Unresolved Mention"/>
    <w:basedOn w:val="DefaultParagraphFont"/>
    <w:uiPriority w:val="99"/>
    <w:semiHidden/>
    <w:unhideWhenUsed/>
    <w:rsid w:val="00E06F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10195">
      <w:bodyDiv w:val="1"/>
      <w:marLeft w:val="0"/>
      <w:marRight w:val="0"/>
      <w:marTop w:val="0"/>
      <w:marBottom w:val="0"/>
      <w:divBdr>
        <w:top w:val="none" w:sz="0" w:space="0" w:color="auto"/>
        <w:left w:val="none" w:sz="0" w:space="0" w:color="auto"/>
        <w:bottom w:val="none" w:sz="0" w:space="0" w:color="auto"/>
        <w:right w:val="none" w:sz="0" w:space="0" w:color="auto"/>
      </w:divBdr>
    </w:div>
    <w:div w:id="179929012">
      <w:bodyDiv w:val="1"/>
      <w:marLeft w:val="0"/>
      <w:marRight w:val="0"/>
      <w:marTop w:val="0"/>
      <w:marBottom w:val="0"/>
      <w:divBdr>
        <w:top w:val="none" w:sz="0" w:space="0" w:color="auto"/>
        <w:left w:val="none" w:sz="0" w:space="0" w:color="auto"/>
        <w:bottom w:val="none" w:sz="0" w:space="0" w:color="auto"/>
        <w:right w:val="none" w:sz="0" w:space="0" w:color="auto"/>
      </w:divBdr>
      <w:divsChild>
        <w:div w:id="773281241">
          <w:marLeft w:val="0"/>
          <w:marRight w:val="0"/>
          <w:marTop w:val="0"/>
          <w:marBottom w:val="0"/>
          <w:divBdr>
            <w:top w:val="none" w:sz="0" w:space="0" w:color="auto"/>
            <w:left w:val="none" w:sz="0" w:space="0" w:color="auto"/>
            <w:bottom w:val="none" w:sz="0" w:space="0" w:color="auto"/>
            <w:right w:val="none" w:sz="0" w:space="0" w:color="auto"/>
          </w:divBdr>
          <w:divsChild>
            <w:div w:id="106097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64315">
      <w:bodyDiv w:val="1"/>
      <w:marLeft w:val="0"/>
      <w:marRight w:val="0"/>
      <w:marTop w:val="0"/>
      <w:marBottom w:val="0"/>
      <w:divBdr>
        <w:top w:val="none" w:sz="0" w:space="0" w:color="auto"/>
        <w:left w:val="none" w:sz="0" w:space="0" w:color="auto"/>
        <w:bottom w:val="none" w:sz="0" w:space="0" w:color="auto"/>
        <w:right w:val="none" w:sz="0" w:space="0" w:color="auto"/>
      </w:divBdr>
    </w:div>
    <w:div w:id="415323916">
      <w:bodyDiv w:val="1"/>
      <w:marLeft w:val="0"/>
      <w:marRight w:val="0"/>
      <w:marTop w:val="0"/>
      <w:marBottom w:val="0"/>
      <w:divBdr>
        <w:top w:val="none" w:sz="0" w:space="0" w:color="auto"/>
        <w:left w:val="none" w:sz="0" w:space="0" w:color="auto"/>
        <w:bottom w:val="none" w:sz="0" w:space="0" w:color="auto"/>
        <w:right w:val="none" w:sz="0" w:space="0" w:color="auto"/>
      </w:divBdr>
      <w:divsChild>
        <w:div w:id="177040012">
          <w:marLeft w:val="0"/>
          <w:marRight w:val="0"/>
          <w:marTop w:val="0"/>
          <w:marBottom w:val="0"/>
          <w:divBdr>
            <w:top w:val="none" w:sz="0" w:space="0" w:color="auto"/>
            <w:left w:val="none" w:sz="0" w:space="0" w:color="auto"/>
            <w:bottom w:val="none" w:sz="0" w:space="0" w:color="auto"/>
            <w:right w:val="none" w:sz="0" w:space="0" w:color="auto"/>
          </w:divBdr>
          <w:divsChild>
            <w:div w:id="1269504369">
              <w:marLeft w:val="0"/>
              <w:marRight w:val="0"/>
              <w:marTop w:val="0"/>
              <w:marBottom w:val="0"/>
              <w:divBdr>
                <w:top w:val="none" w:sz="0" w:space="0" w:color="auto"/>
                <w:left w:val="none" w:sz="0" w:space="0" w:color="auto"/>
                <w:bottom w:val="none" w:sz="0" w:space="0" w:color="auto"/>
                <w:right w:val="none" w:sz="0" w:space="0" w:color="auto"/>
              </w:divBdr>
              <w:divsChild>
                <w:div w:id="192271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164914">
      <w:bodyDiv w:val="1"/>
      <w:marLeft w:val="0"/>
      <w:marRight w:val="0"/>
      <w:marTop w:val="0"/>
      <w:marBottom w:val="0"/>
      <w:divBdr>
        <w:top w:val="none" w:sz="0" w:space="0" w:color="auto"/>
        <w:left w:val="none" w:sz="0" w:space="0" w:color="auto"/>
        <w:bottom w:val="none" w:sz="0" w:space="0" w:color="auto"/>
        <w:right w:val="none" w:sz="0" w:space="0" w:color="auto"/>
      </w:divBdr>
      <w:divsChild>
        <w:div w:id="1636830707">
          <w:marLeft w:val="0"/>
          <w:marRight w:val="0"/>
          <w:marTop w:val="0"/>
          <w:marBottom w:val="0"/>
          <w:divBdr>
            <w:top w:val="none" w:sz="0" w:space="0" w:color="auto"/>
            <w:left w:val="none" w:sz="0" w:space="0" w:color="auto"/>
            <w:bottom w:val="none" w:sz="0" w:space="0" w:color="auto"/>
            <w:right w:val="none" w:sz="0" w:space="0" w:color="auto"/>
          </w:divBdr>
          <w:divsChild>
            <w:div w:id="973291984">
              <w:marLeft w:val="0"/>
              <w:marRight w:val="0"/>
              <w:marTop w:val="0"/>
              <w:marBottom w:val="0"/>
              <w:divBdr>
                <w:top w:val="none" w:sz="0" w:space="0" w:color="auto"/>
                <w:left w:val="none" w:sz="0" w:space="0" w:color="auto"/>
                <w:bottom w:val="none" w:sz="0" w:space="0" w:color="auto"/>
                <w:right w:val="none" w:sz="0" w:space="0" w:color="auto"/>
              </w:divBdr>
              <w:divsChild>
                <w:div w:id="24642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5165642">
      <w:bodyDiv w:val="1"/>
      <w:marLeft w:val="0"/>
      <w:marRight w:val="0"/>
      <w:marTop w:val="0"/>
      <w:marBottom w:val="0"/>
      <w:divBdr>
        <w:top w:val="none" w:sz="0" w:space="0" w:color="auto"/>
        <w:left w:val="none" w:sz="0" w:space="0" w:color="auto"/>
        <w:bottom w:val="none" w:sz="0" w:space="0" w:color="auto"/>
        <w:right w:val="none" w:sz="0" w:space="0" w:color="auto"/>
      </w:divBdr>
    </w:div>
    <w:div w:id="694041814">
      <w:bodyDiv w:val="1"/>
      <w:marLeft w:val="0"/>
      <w:marRight w:val="0"/>
      <w:marTop w:val="0"/>
      <w:marBottom w:val="0"/>
      <w:divBdr>
        <w:top w:val="none" w:sz="0" w:space="0" w:color="auto"/>
        <w:left w:val="none" w:sz="0" w:space="0" w:color="auto"/>
        <w:bottom w:val="none" w:sz="0" w:space="0" w:color="auto"/>
        <w:right w:val="none" w:sz="0" w:space="0" w:color="auto"/>
      </w:divBdr>
    </w:div>
    <w:div w:id="910120974">
      <w:bodyDiv w:val="1"/>
      <w:marLeft w:val="0"/>
      <w:marRight w:val="0"/>
      <w:marTop w:val="0"/>
      <w:marBottom w:val="0"/>
      <w:divBdr>
        <w:top w:val="none" w:sz="0" w:space="0" w:color="auto"/>
        <w:left w:val="none" w:sz="0" w:space="0" w:color="auto"/>
        <w:bottom w:val="none" w:sz="0" w:space="0" w:color="auto"/>
        <w:right w:val="none" w:sz="0" w:space="0" w:color="auto"/>
      </w:divBdr>
    </w:div>
    <w:div w:id="960768233">
      <w:bodyDiv w:val="1"/>
      <w:marLeft w:val="0"/>
      <w:marRight w:val="0"/>
      <w:marTop w:val="0"/>
      <w:marBottom w:val="0"/>
      <w:divBdr>
        <w:top w:val="none" w:sz="0" w:space="0" w:color="auto"/>
        <w:left w:val="none" w:sz="0" w:space="0" w:color="auto"/>
        <w:bottom w:val="none" w:sz="0" w:space="0" w:color="auto"/>
        <w:right w:val="none" w:sz="0" w:space="0" w:color="auto"/>
      </w:divBdr>
    </w:div>
    <w:div w:id="1029451264">
      <w:bodyDiv w:val="1"/>
      <w:marLeft w:val="0"/>
      <w:marRight w:val="0"/>
      <w:marTop w:val="0"/>
      <w:marBottom w:val="0"/>
      <w:divBdr>
        <w:top w:val="none" w:sz="0" w:space="0" w:color="auto"/>
        <w:left w:val="none" w:sz="0" w:space="0" w:color="auto"/>
        <w:bottom w:val="none" w:sz="0" w:space="0" w:color="auto"/>
        <w:right w:val="none" w:sz="0" w:space="0" w:color="auto"/>
      </w:divBdr>
      <w:divsChild>
        <w:div w:id="1920019050">
          <w:marLeft w:val="0"/>
          <w:marRight w:val="0"/>
          <w:marTop w:val="0"/>
          <w:marBottom w:val="0"/>
          <w:divBdr>
            <w:top w:val="none" w:sz="0" w:space="0" w:color="auto"/>
            <w:left w:val="none" w:sz="0" w:space="0" w:color="auto"/>
            <w:bottom w:val="none" w:sz="0" w:space="0" w:color="auto"/>
            <w:right w:val="none" w:sz="0" w:space="0" w:color="auto"/>
          </w:divBdr>
          <w:divsChild>
            <w:div w:id="84162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896454">
      <w:bodyDiv w:val="1"/>
      <w:marLeft w:val="0"/>
      <w:marRight w:val="0"/>
      <w:marTop w:val="0"/>
      <w:marBottom w:val="0"/>
      <w:divBdr>
        <w:top w:val="none" w:sz="0" w:space="0" w:color="auto"/>
        <w:left w:val="none" w:sz="0" w:space="0" w:color="auto"/>
        <w:bottom w:val="none" w:sz="0" w:space="0" w:color="auto"/>
        <w:right w:val="none" w:sz="0" w:space="0" w:color="auto"/>
      </w:divBdr>
      <w:divsChild>
        <w:div w:id="1274023319">
          <w:marLeft w:val="0"/>
          <w:marRight w:val="0"/>
          <w:marTop w:val="0"/>
          <w:marBottom w:val="0"/>
          <w:divBdr>
            <w:top w:val="none" w:sz="0" w:space="0" w:color="auto"/>
            <w:left w:val="none" w:sz="0" w:space="0" w:color="auto"/>
            <w:bottom w:val="none" w:sz="0" w:space="0" w:color="auto"/>
            <w:right w:val="none" w:sz="0" w:space="0" w:color="auto"/>
          </w:divBdr>
          <w:divsChild>
            <w:div w:id="2095203665">
              <w:marLeft w:val="0"/>
              <w:marRight w:val="0"/>
              <w:marTop w:val="0"/>
              <w:marBottom w:val="0"/>
              <w:divBdr>
                <w:top w:val="none" w:sz="0" w:space="0" w:color="auto"/>
                <w:left w:val="none" w:sz="0" w:space="0" w:color="auto"/>
                <w:bottom w:val="none" w:sz="0" w:space="0" w:color="auto"/>
                <w:right w:val="none" w:sz="0" w:space="0" w:color="auto"/>
              </w:divBdr>
              <w:divsChild>
                <w:div w:id="28508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17351">
      <w:bodyDiv w:val="1"/>
      <w:marLeft w:val="0"/>
      <w:marRight w:val="0"/>
      <w:marTop w:val="0"/>
      <w:marBottom w:val="0"/>
      <w:divBdr>
        <w:top w:val="none" w:sz="0" w:space="0" w:color="auto"/>
        <w:left w:val="none" w:sz="0" w:space="0" w:color="auto"/>
        <w:bottom w:val="none" w:sz="0" w:space="0" w:color="auto"/>
        <w:right w:val="none" w:sz="0" w:space="0" w:color="auto"/>
      </w:divBdr>
      <w:divsChild>
        <w:div w:id="1518427168">
          <w:marLeft w:val="0"/>
          <w:marRight w:val="0"/>
          <w:marTop w:val="0"/>
          <w:marBottom w:val="0"/>
          <w:divBdr>
            <w:top w:val="none" w:sz="0" w:space="0" w:color="auto"/>
            <w:left w:val="none" w:sz="0" w:space="0" w:color="auto"/>
            <w:bottom w:val="none" w:sz="0" w:space="0" w:color="auto"/>
            <w:right w:val="none" w:sz="0" w:space="0" w:color="auto"/>
          </w:divBdr>
          <w:divsChild>
            <w:div w:id="511257959">
              <w:marLeft w:val="0"/>
              <w:marRight w:val="0"/>
              <w:marTop w:val="0"/>
              <w:marBottom w:val="0"/>
              <w:divBdr>
                <w:top w:val="none" w:sz="0" w:space="0" w:color="auto"/>
                <w:left w:val="none" w:sz="0" w:space="0" w:color="auto"/>
                <w:bottom w:val="none" w:sz="0" w:space="0" w:color="auto"/>
                <w:right w:val="none" w:sz="0" w:space="0" w:color="auto"/>
              </w:divBdr>
              <w:divsChild>
                <w:div w:id="160433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e1c5235-23fc-43dc-a60e-9ba5e777df86}" enabled="1" method="Standard" siteId="{226a070b-e0bb-4475-89ef-9ff30d6a35b3}" contentBits="0" removed="0"/>
</clbl:labelList>
</file>

<file path=docProps/app.xml><?xml version="1.0" encoding="utf-8"?>
<Properties xmlns="http://schemas.openxmlformats.org/officeDocument/2006/extended-properties" xmlns:vt="http://schemas.openxmlformats.org/officeDocument/2006/docPropsVTypes">
  <Template>Normal</Template>
  <TotalTime>19</TotalTime>
  <Pages>5</Pages>
  <Words>1048</Words>
  <Characters>5979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7013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Abdulrahman Mudheb Saleh Al Babakri (Miral Experiences)</cp:lastModifiedBy>
  <cp:revision>12</cp:revision>
  <dcterms:created xsi:type="dcterms:W3CDTF">2026-06-07T18:19:00Z</dcterms:created>
  <dcterms:modified xsi:type="dcterms:W3CDTF">2026-06-21T15:05:00Z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7250f454-4472-413f-b4cf-c5fb54ae61de</vt:lpwstr>
  </property>
  <property fmtid="{D5CDD505-2E9C-101B-9397-08002B2CF9AE}" pid="3" name="MSIP_Label_fe1c5235-23fc-43dc-a60e-9ba5e777df86_Enabled">
    <vt:lpwstr>true</vt:lpwstr>
  </property>
  <property fmtid="{D5CDD505-2E9C-101B-9397-08002B2CF9AE}" pid="4" name="MSIP_Label_fe1c5235-23fc-43dc-a60e-9ba5e777df86_SetDate">
    <vt:lpwstr>2025-10-04T16:33:02Z</vt:lpwstr>
  </property>
  <property fmtid="{D5CDD505-2E9C-101B-9397-08002B2CF9AE}" pid="5" name="MSIP_Label_fe1c5235-23fc-43dc-a60e-9ba5e777df86_Method">
    <vt:lpwstr>Standard</vt:lpwstr>
  </property>
  <property fmtid="{D5CDD505-2E9C-101B-9397-08002B2CF9AE}" pid="6" name="MSIP_Label_fe1c5235-23fc-43dc-a60e-9ba5e777df86_Name">
    <vt:lpwstr>defa4170-0d19-0005-0004-bc88714345d2</vt:lpwstr>
  </property>
  <property fmtid="{D5CDD505-2E9C-101B-9397-08002B2CF9AE}" pid="7" name="MSIP_Label_fe1c5235-23fc-43dc-a60e-9ba5e777df86_SiteId">
    <vt:lpwstr>226a070b-e0bb-4475-89ef-9ff30d6a35b3</vt:lpwstr>
  </property>
  <property fmtid="{D5CDD505-2E9C-101B-9397-08002B2CF9AE}" pid="8" name="MSIP_Label_fe1c5235-23fc-43dc-a60e-9ba5e777df86_ActionId">
    <vt:lpwstr>42dec7a7-5a00-4f58-bba9-6feb51aed122</vt:lpwstr>
  </property>
  <property fmtid="{D5CDD505-2E9C-101B-9397-08002B2CF9AE}" pid="9" name="MSIP_Label_fe1c5235-23fc-43dc-a60e-9ba5e777df86_ContentBits">
    <vt:lpwstr>0</vt:lpwstr>
  </property>
</Properties>
</file>