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4849B" w14:textId="35DFA6D0" w:rsidR="00CC34A4" w:rsidRPr="00430A3C" w:rsidRDefault="00CC34A4" w:rsidP="00430A3C">
      <w:pPr>
        <w:spacing w:line="480" w:lineRule="auto"/>
      </w:pPr>
    </w:p>
    <w:p w14:paraId="600F4337" w14:textId="44928406" w:rsidR="00B73AF7" w:rsidRPr="00430A3C" w:rsidRDefault="00B73AF7" w:rsidP="00430A3C">
      <w:pPr>
        <w:spacing w:line="480" w:lineRule="auto"/>
      </w:pPr>
    </w:p>
    <w:p w14:paraId="43DFBB5D" w14:textId="7923A8D0" w:rsidR="00B73AF7" w:rsidRDefault="00B73AF7" w:rsidP="00430A3C">
      <w:pPr>
        <w:spacing w:line="480" w:lineRule="auto"/>
      </w:pPr>
    </w:p>
    <w:p w14:paraId="7AD2BEA4" w14:textId="77777777" w:rsidR="002E425F" w:rsidRPr="00430A3C" w:rsidRDefault="002E425F" w:rsidP="00430A3C">
      <w:pPr>
        <w:spacing w:line="480" w:lineRule="auto"/>
      </w:pPr>
    </w:p>
    <w:p w14:paraId="4BA2B24D" w14:textId="189F9C93" w:rsidR="00B73AF7" w:rsidRPr="002E425F" w:rsidRDefault="00B73AF7" w:rsidP="002E425F">
      <w:pPr>
        <w:spacing w:after="0" w:line="480" w:lineRule="auto"/>
        <w:jc w:val="center"/>
        <w:rPr>
          <w:rFonts w:cs="Times New Roman"/>
          <w:b/>
          <w:szCs w:val="24"/>
          <w:lang w:val="en-GB"/>
        </w:rPr>
      </w:pPr>
      <w:r w:rsidRPr="002E425F">
        <w:rPr>
          <w:rFonts w:cs="Times New Roman"/>
          <w:b/>
          <w:szCs w:val="24"/>
          <w:lang w:val="en-GB"/>
        </w:rPr>
        <w:t xml:space="preserve">Reflective </w:t>
      </w:r>
      <w:r w:rsidR="00B54CAD" w:rsidRPr="002E425F">
        <w:rPr>
          <w:rFonts w:cs="Times New Roman"/>
          <w:b/>
          <w:szCs w:val="24"/>
          <w:lang w:val="en-GB"/>
        </w:rPr>
        <w:t xml:space="preserve">Journal </w:t>
      </w:r>
      <w:r w:rsidRPr="002E425F">
        <w:rPr>
          <w:rFonts w:cs="Times New Roman"/>
          <w:b/>
          <w:szCs w:val="24"/>
          <w:lang w:val="en-GB"/>
        </w:rPr>
        <w:t xml:space="preserve">Entry </w:t>
      </w:r>
      <w:r w:rsidR="006700A7">
        <w:rPr>
          <w:rFonts w:cs="Times New Roman"/>
          <w:b/>
          <w:szCs w:val="24"/>
          <w:lang w:val="en-GB"/>
        </w:rPr>
        <w:t>2</w:t>
      </w:r>
    </w:p>
    <w:p w14:paraId="77F1BCFE" w14:textId="77777777" w:rsidR="00B54CAD" w:rsidRDefault="00B54CAD" w:rsidP="00430A3C">
      <w:pPr>
        <w:spacing w:line="480" w:lineRule="auto"/>
        <w:jc w:val="center"/>
      </w:pPr>
    </w:p>
    <w:p w14:paraId="3347D2B3" w14:textId="77777777" w:rsidR="002E425F" w:rsidRDefault="002E425F" w:rsidP="002E425F">
      <w:pPr>
        <w:spacing w:after="0" w:line="480" w:lineRule="auto"/>
        <w:jc w:val="center"/>
        <w:rPr>
          <w:rFonts w:cs="Times New Roman"/>
          <w:szCs w:val="24"/>
          <w:lang w:val="en-GB"/>
        </w:rPr>
      </w:pPr>
      <w:r>
        <w:rPr>
          <w:rFonts w:cs="Times New Roman"/>
          <w:szCs w:val="24"/>
          <w:lang w:val="en-GB"/>
        </w:rPr>
        <w:t>Abdulrahman Albabakri, 025302</w:t>
      </w:r>
    </w:p>
    <w:p w14:paraId="656AE448" w14:textId="77777777" w:rsidR="002E425F" w:rsidRPr="00781C64" w:rsidRDefault="002E425F" w:rsidP="002E425F">
      <w:pPr>
        <w:spacing w:after="0" w:line="480" w:lineRule="auto"/>
        <w:jc w:val="center"/>
        <w:rPr>
          <w:rFonts w:cs="Times New Roman"/>
          <w:szCs w:val="24"/>
          <w:lang w:val="en-GB"/>
        </w:rPr>
      </w:pPr>
      <w:r w:rsidRPr="00A45058">
        <w:rPr>
          <w:rFonts w:cs="Times New Roman"/>
          <w:szCs w:val="24"/>
          <w:lang w:val="en-GB"/>
        </w:rPr>
        <w:t>Emirates College for Advanced Education</w:t>
      </w:r>
    </w:p>
    <w:p w14:paraId="254C9ED7" w14:textId="7835C476" w:rsidR="002E425F" w:rsidRPr="002E425F" w:rsidRDefault="00FC60AA" w:rsidP="002E425F">
      <w:pPr>
        <w:spacing w:after="0" w:line="480" w:lineRule="auto"/>
        <w:jc w:val="center"/>
        <w:rPr>
          <w:rFonts w:cs="Times New Roman"/>
          <w:szCs w:val="24"/>
          <w:lang w:val="en-AE"/>
        </w:rPr>
      </w:pPr>
      <w:r w:rsidRPr="00FC60AA">
        <w:rPr>
          <w:rFonts w:cs="Times New Roman"/>
          <w:szCs w:val="24"/>
          <w:lang w:val="en-AE"/>
        </w:rPr>
        <w:t>EDUSPPP2</w:t>
      </w:r>
      <w:r w:rsidR="002E425F">
        <w:rPr>
          <w:rFonts w:cs="Times New Roman"/>
          <w:szCs w:val="24"/>
          <w:lang w:val="en-GB"/>
        </w:rPr>
        <w:t xml:space="preserve">: </w:t>
      </w:r>
      <w:r w:rsidR="002E425F" w:rsidRPr="002E425F">
        <w:rPr>
          <w:lang w:val="en-AE"/>
        </w:rPr>
        <w:t xml:space="preserve">Secondary Professional Practice Placement- </w:t>
      </w:r>
      <w:r w:rsidR="005D1B08">
        <w:rPr>
          <w:lang w:val="en-AE"/>
        </w:rPr>
        <w:t>2</w:t>
      </w:r>
      <w:r w:rsidR="002E425F" w:rsidRPr="002E425F">
        <w:rPr>
          <w:lang w:val="en-AE"/>
        </w:rPr>
        <w:t xml:space="preserve"> (SPPP</w:t>
      </w:r>
      <w:r w:rsidR="00FE5D8A">
        <w:rPr>
          <w:lang w:val="en-AE"/>
        </w:rPr>
        <w:t>2</w:t>
      </w:r>
      <w:r w:rsidR="002E425F" w:rsidRPr="002E425F">
        <w:rPr>
          <w:lang w:val="en-AE"/>
        </w:rPr>
        <w:t xml:space="preserve">) </w:t>
      </w:r>
    </w:p>
    <w:p w14:paraId="207DB24C" w14:textId="4C2F059C" w:rsidR="002E425F" w:rsidRPr="002E425F" w:rsidRDefault="002E425F" w:rsidP="002E425F">
      <w:pPr>
        <w:spacing w:line="480" w:lineRule="auto"/>
        <w:jc w:val="center"/>
        <w:rPr>
          <w:rFonts w:cs="Times New Roman"/>
          <w:szCs w:val="24"/>
          <w:lang w:val="en-GB"/>
        </w:rPr>
      </w:pPr>
      <w:r w:rsidRPr="00730BCA">
        <w:rPr>
          <w:rFonts w:cs="Times New Roman"/>
          <w:szCs w:val="24"/>
          <w:lang w:val="en-GB"/>
        </w:rPr>
        <w:t xml:space="preserve">Dr. </w:t>
      </w:r>
      <w:r w:rsidRPr="002E425F">
        <w:rPr>
          <w:rFonts w:cs="Times New Roman"/>
          <w:szCs w:val="24"/>
          <w:lang w:val="en-GB"/>
        </w:rPr>
        <w:t>Dean Cairns</w:t>
      </w:r>
    </w:p>
    <w:p w14:paraId="112DCBA7" w14:textId="54E950FB" w:rsidR="002E425F" w:rsidRPr="00781C64" w:rsidRDefault="0028403A" w:rsidP="002E425F">
      <w:pPr>
        <w:spacing w:after="0" w:line="480" w:lineRule="auto"/>
        <w:jc w:val="center"/>
        <w:rPr>
          <w:rFonts w:cs="Times New Roman"/>
          <w:szCs w:val="24"/>
          <w:lang w:val="en-GB"/>
        </w:rPr>
      </w:pPr>
      <w:r>
        <w:rPr>
          <w:rFonts w:cs="Times New Roman"/>
          <w:szCs w:val="24"/>
          <w:lang w:val="en-GB"/>
        </w:rPr>
        <w:t>Feb</w:t>
      </w:r>
      <w:r w:rsidR="006700A7">
        <w:rPr>
          <w:rFonts w:cs="Times New Roman"/>
          <w:szCs w:val="24"/>
          <w:lang w:val="en-GB"/>
        </w:rPr>
        <w:t>ruary</w:t>
      </w:r>
      <w:r w:rsidR="002E425F">
        <w:rPr>
          <w:rFonts w:cs="Times New Roman"/>
          <w:szCs w:val="24"/>
          <w:lang w:val="en-GB"/>
        </w:rPr>
        <w:t xml:space="preserve"> </w:t>
      </w:r>
      <w:r>
        <w:rPr>
          <w:rFonts w:cs="Times New Roman"/>
          <w:szCs w:val="24"/>
          <w:lang w:val="en-GB"/>
        </w:rPr>
        <w:t>10</w:t>
      </w:r>
      <w:r w:rsidR="002E425F">
        <w:rPr>
          <w:rFonts w:cs="Times New Roman"/>
          <w:szCs w:val="24"/>
          <w:lang w:val="en-GB"/>
        </w:rPr>
        <w:t xml:space="preserve">, </w:t>
      </w:r>
      <w:r w:rsidR="002E425F" w:rsidRPr="00A45058">
        <w:rPr>
          <w:rFonts w:cs="Times New Roman"/>
          <w:szCs w:val="24"/>
          <w:lang w:val="en-GB"/>
        </w:rPr>
        <w:t>202</w:t>
      </w:r>
      <w:r w:rsidR="005D1B08">
        <w:rPr>
          <w:rFonts w:cs="Times New Roman"/>
          <w:szCs w:val="24"/>
          <w:lang w:val="en-GB"/>
        </w:rPr>
        <w:t>6</w:t>
      </w:r>
    </w:p>
    <w:p w14:paraId="21688A3F" w14:textId="77777777" w:rsidR="00B73AF7" w:rsidRPr="00430A3C" w:rsidRDefault="00B73AF7" w:rsidP="00430A3C">
      <w:pPr>
        <w:spacing w:line="480" w:lineRule="auto"/>
      </w:pPr>
      <w:r w:rsidRPr="00430A3C">
        <w:br w:type="page"/>
      </w:r>
    </w:p>
    <w:p w14:paraId="6BED40A3" w14:textId="77777777" w:rsidR="00EE2FBF" w:rsidRPr="00EE2FBF" w:rsidRDefault="00EE2FBF" w:rsidP="00911831">
      <w:pPr>
        <w:spacing w:line="360" w:lineRule="auto"/>
        <w:jc w:val="center"/>
      </w:pPr>
      <w:r w:rsidRPr="00EE2FBF">
        <w:rPr>
          <w:b/>
          <w:bCs/>
        </w:rPr>
        <w:lastRenderedPageBreak/>
        <w:t>Description</w:t>
      </w:r>
    </w:p>
    <w:p w14:paraId="1C791A7D" w14:textId="77777777" w:rsidR="000D76BB" w:rsidRDefault="000D76BB" w:rsidP="00911831">
      <w:pPr>
        <w:spacing w:line="360" w:lineRule="auto"/>
      </w:pPr>
      <w:r>
        <w:t xml:space="preserve">During Weeks 6 and 7, my professional development activities included three major areas: (1) observing a mentor's teaching on "Mass and the Mole," (2) giving two micro-teaching experiences on "Mass and the Mole" (the final phase of the topic) and "Empirical and Molecular Formulas" (the introductory phase). In Mr. </w:t>
      </w:r>
      <w:proofErr w:type="spellStart"/>
      <w:r>
        <w:t>Moussad's</w:t>
      </w:r>
      <w:proofErr w:type="spellEnd"/>
      <w:r>
        <w:t xml:space="preserve"> teaching on "Mass and the Mole," he introduced molar mass by relating atomic mass units on the periodic table with grams per mole. He also used a hook on a real-world problem involving the mass of carbon atoms, and he used an "I Do, We Do, You Do" teaching strategy, moving from direct teaching with Aluminum to a guided practice with partners on compounds such as NaCl.</w:t>
      </w:r>
    </w:p>
    <w:p w14:paraId="6CF9DC3D" w14:textId="77777777" w:rsidR="000D76BB" w:rsidRDefault="000D76BB" w:rsidP="00911831">
      <w:pPr>
        <w:spacing w:line="360" w:lineRule="auto"/>
      </w:pPr>
      <w:r>
        <w:t>In my initial micro-teaching session, I focused on the final ten minutes of a lesson on a consistent topic, with an emphasis on the integration of technology to inform formative assessment and differentiation. I used the technology tool "Quizizz" to inform assessment and developed a tiered exit ticket policy that allowed students to choose activities based on their level of confidence, from a simple calculation of a single element to a conversion of multiple elements.</w:t>
      </w:r>
    </w:p>
    <w:p w14:paraId="7F67CB8F" w14:textId="77777777" w:rsidR="000D76BB" w:rsidRDefault="000D76BB" w:rsidP="00911831">
      <w:pPr>
        <w:spacing w:line="360" w:lineRule="auto"/>
      </w:pPr>
      <w:r>
        <w:t>The second micro-teaching activity dealt with the opening ten minutes of a lesson on Empirical Formulas. Although the concept of the Molar Mass was reviewed, the distinction between Empirical Formulas was introduced along with a visual aid to compare Hydrogen Peroxide, or H₂O₂, with its empirical form of HO. To maintain the inherent fairness of participation among the students, the "No Hands Up" searching method was used.</w:t>
      </w:r>
    </w:p>
    <w:p w14:paraId="51CA83D9" w14:textId="0CF07291" w:rsidR="00EE2FBF" w:rsidRPr="004B2BDC" w:rsidRDefault="00EE2FBF" w:rsidP="00911831">
      <w:pPr>
        <w:spacing w:line="360" w:lineRule="auto"/>
        <w:jc w:val="center"/>
      </w:pPr>
      <w:r w:rsidRPr="004B2BDC">
        <w:rPr>
          <w:b/>
          <w:bCs/>
        </w:rPr>
        <w:t>Evaluation</w:t>
      </w:r>
    </w:p>
    <w:p w14:paraId="09B7DA99" w14:textId="77777777" w:rsidR="00852253" w:rsidRDefault="00852253" w:rsidP="00911831">
      <w:pPr>
        <w:spacing w:line="360" w:lineRule="auto"/>
      </w:pPr>
      <w:r>
        <w:t xml:space="preserve">The experience reinforced the effectiveness of explicit teaching followed by guided practice. Mr. </w:t>
      </w:r>
      <w:proofErr w:type="spellStart"/>
      <w:r>
        <w:t>Moussad</w:t>
      </w:r>
      <w:proofErr w:type="spellEnd"/>
      <w:r>
        <w:t xml:space="preserve"> made a clear connection between the realm of atoms and the measurable world of grams. Abstraction gave way to concreteness. Similarly, through the element of gamification in the first experience of micro-teaching, it showed that gamification is effective in keeping learners engaged. The tiered exit tickets also fulfilled their purpose, although there was also a suggestion that at the expert level, there can be a reference made to the real world, like the aluminum industry in the UAE.</w:t>
      </w:r>
    </w:p>
    <w:p w14:paraId="0124B4FA" w14:textId="6D49DC6C" w:rsidR="007515A5" w:rsidRDefault="00852253" w:rsidP="00911831">
      <w:pPr>
        <w:spacing w:line="360" w:lineRule="auto"/>
      </w:pPr>
      <w:r>
        <w:t>In the second micro-teaching, the transition from prior knowledge (molar mass) to the new concept (empirical formulas) went smoothly. The visual comparison cleared up confusion regarding "</w:t>
      </w:r>
      <w:proofErr w:type="gramStart"/>
      <w:r>
        <w:t>simplest</w:t>
      </w:r>
      <w:proofErr w:type="gramEnd"/>
      <w:r>
        <w:t xml:space="preserve"> ratios." A challenge arose when a student asked about ionic </w:t>
      </w:r>
      <w:r>
        <w:lastRenderedPageBreak/>
        <w:t>compounds; while I handled it, the distinction that ionic formulas are almost always empirical needed clearer emphasis to prevent future misconceptions.</w:t>
      </w:r>
    </w:p>
    <w:p w14:paraId="01EB3C14" w14:textId="77187A9C" w:rsidR="00EE2FBF" w:rsidRPr="00890E8D" w:rsidRDefault="00EE2FBF" w:rsidP="00911831">
      <w:pPr>
        <w:spacing w:line="360" w:lineRule="auto"/>
        <w:jc w:val="center"/>
      </w:pPr>
      <w:r w:rsidRPr="00890E8D">
        <w:rPr>
          <w:b/>
          <w:bCs/>
        </w:rPr>
        <w:t>Analysis</w:t>
      </w:r>
    </w:p>
    <w:p w14:paraId="234A4A96" w14:textId="77777777" w:rsidR="00B77929" w:rsidRDefault="00B77929" w:rsidP="00911831">
      <w:pPr>
        <w:spacing w:line="360" w:lineRule="auto"/>
      </w:pPr>
      <w:r>
        <w:t xml:space="preserve">An analysis of the above experiences in the context of the Visible Learning for Science framework emphasizes the importance of the sequencing of surface and deep learning. The lessons on the concept of molar mass were largely focused on surface learning, which Almarode et al. (2018) describe not in the context of superficiality but rather as the essential learning that needs to be acquired to lay the groundwork for a foundational understanding. Mr. </w:t>
      </w:r>
      <w:proofErr w:type="spellStart"/>
      <w:r>
        <w:t>Moussad’s</w:t>
      </w:r>
      <w:proofErr w:type="spellEnd"/>
      <w:r>
        <w:t xml:space="preserve"> use </w:t>
      </w:r>
      <w:proofErr w:type="gramStart"/>
      <w:r>
        <w:t>of worked</w:t>
      </w:r>
      <w:proofErr w:type="gramEnd"/>
      <w:r>
        <w:t xml:space="preserve"> examples and my own use of tiered practice both align with strategies for initial acquisition.</w:t>
      </w:r>
    </w:p>
    <w:p w14:paraId="741C12AA" w14:textId="77777777" w:rsidR="00B77929" w:rsidRDefault="00B77929" w:rsidP="00911831">
      <w:pPr>
        <w:spacing w:line="360" w:lineRule="auto"/>
      </w:pPr>
      <w:r>
        <w:t>In contrast, the lesson plan on "Empirical Formulas" sets the stage for the process of deep learning, as it challenges the students to discover the relationships that exist among the terms, concepts, and ideas. By asking the students to compare the molecular formula H2O2 to the empirical formula HO, I encouraged them to think in terms of patterns and relationships, rather than memorizing the definitions. This process is consistent with the relational dimension of the SOLO Taxonomy, which enables the students to move from individual ideas to the integration of those ideas.</w:t>
      </w:r>
    </w:p>
    <w:p w14:paraId="1D3F8F35" w14:textId="7404EA1B" w:rsidR="005E5DD2" w:rsidRDefault="00B77929" w:rsidP="00911831">
      <w:pPr>
        <w:spacing w:line="360" w:lineRule="auto"/>
      </w:pPr>
      <w:r>
        <w:t xml:space="preserve">Furthermore, the critique regarding the "Expert" tier in my exit ticket highlights the dimension of relevance. Stuckey et al. (2013) argue that relevance in science education has three dimensions: individual, societal, and vocational. My initial task was mathematically challenging but lacked context. Incorporating the mentor's suggestion to calculate the mass of Aluminum produced at EGA (Emirates Global </w:t>
      </w:r>
      <w:proofErr w:type="spellStart"/>
      <w:r>
        <w:t>Aluminium</w:t>
      </w:r>
      <w:proofErr w:type="spellEnd"/>
      <w:r>
        <w:t>) would have shifted the task from abstract calculation to one possessing societal and vocational relevance, thereby helping students become "effective future citizens" who understand the application of science in their local economy.</w:t>
      </w:r>
    </w:p>
    <w:p w14:paraId="77B95B62" w14:textId="77777777" w:rsidR="00911831" w:rsidRDefault="00911831" w:rsidP="00911831">
      <w:pPr>
        <w:spacing w:line="360" w:lineRule="auto"/>
      </w:pPr>
    </w:p>
    <w:p w14:paraId="4E13F4C6" w14:textId="77777777" w:rsidR="00911831" w:rsidRDefault="00911831" w:rsidP="00911831">
      <w:pPr>
        <w:spacing w:line="360" w:lineRule="auto"/>
      </w:pPr>
    </w:p>
    <w:p w14:paraId="5C3DB25A" w14:textId="77777777" w:rsidR="00911831" w:rsidRDefault="00911831" w:rsidP="00911831">
      <w:pPr>
        <w:spacing w:line="360" w:lineRule="auto"/>
      </w:pPr>
    </w:p>
    <w:p w14:paraId="256241A6" w14:textId="77777777" w:rsidR="00911831" w:rsidRDefault="00911831" w:rsidP="00911831">
      <w:pPr>
        <w:spacing w:line="360" w:lineRule="auto"/>
      </w:pPr>
    </w:p>
    <w:p w14:paraId="700CEB95" w14:textId="77777777" w:rsidR="00911831" w:rsidRDefault="00911831" w:rsidP="00911831">
      <w:pPr>
        <w:spacing w:line="360" w:lineRule="auto"/>
      </w:pPr>
    </w:p>
    <w:p w14:paraId="26F67ECB" w14:textId="569B41FE" w:rsidR="00EE2FBF" w:rsidRPr="00EE2FBF" w:rsidRDefault="00EE2FBF" w:rsidP="00911831">
      <w:pPr>
        <w:spacing w:line="360" w:lineRule="auto"/>
        <w:jc w:val="center"/>
      </w:pPr>
      <w:r w:rsidRPr="00EE2FBF">
        <w:rPr>
          <w:b/>
          <w:bCs/>
        </w:rPr>
        <w:lastRenderedPageBreak/>
        <w:t>Conclusion</w:t>
      </w:r>
    </w:p>
    <w:p w14:paraId="0A799E37" w14:textId="77777777" w:rsidR="006F36E1" w:rsidRDefault="006F36E1" w:rsidP="00911831">
      <w:pPr>
        <w:spacing w:line="360" w:lineRule="auto"/>
      </w:pPr>
      <w:r>
        <w:t>The above experiences suggest that an appropriate blend of surface-level skill-building and deep-level concept-building is necessary for effective science teaching and learning, with relevance playing a critical role. Although the integration of technology and differentiation were successfully utilized to capture the interest of the students, opportunities were missed to make relevance even more salient by making the abstract tasks locally relevant to real-life contexts.</w:t>
      </w:r>
    </w:p>
    <w:p w14:paraId="184DB3B7" w14:textId="77777777" w:rsidR="008B008C" w:rsidRDefault="006F36E1" w:rsidP="008B008C">
      <w:pPr>
        <w:spacing w:line="360" w:lineRule="auto"/>
      </w:pPr>
      <w:r>
        <w:t>For the future, I will make sure to create specific tasks under the label of "Expert" that correspond to the "societal and vocational" aspects of the concept of "relevance" as Stuckey et al. (2013) defined it. Additionally, the "no hands up" method and the wait time will persist as an approach to create more democracy in the classroom, as it avoids the concentration of cognitive demand on the willing members of the class. This methodological choice seeks to help me move from the mere transfer of information to the demonstration of the development of learning from the surface to the deep level.</w:t>
      </w:r>
    </w:p>
    <w:p w14:paraId="0C627CFA" w14:textId="54032921" w:rsidR="00E750C9" w:rsidRPr="00E750C9" w:rsidRDefault="00E750C9" w:rsidP="008B008C">
      <w:pPr>
        <w:spacing w:line="360" w:lineRule="auto"/>
        <w:jc w:val="center"/>
      </w:pPr>
      <w:r w:rsidRPr="00E750C9">
        <w:rPr>
          <w:b/>
          <w:bCs/>
        </w:rPr>
        <w:t>References</w:t>
      </w:r>
    </w:p>
    <w:p w14:paraId="2488F8F8" w14:textId="77777777" w:rsidR="006F36E1" w:rsidRDefault="006F36E1" w:rsidP="00911831">
      <w:pPr>
        <w:spacing w:line="360" w:lineRule="auto"/>
        <w:ind w:left="720" w:hanging="720"/>
      </w:pPr>
      <w:r>
        <w:t xml:space="preserve">Almarode, J. T., Fisher, D., Frey, N., &amp; Hattie, J. (2018). </w:t>
      </w:r>
      <w:r w:rsidRPr="006F36E1">
        <w:rPr>
          <w:i/>
          <w:iCs/>
        </w:rPr>
        <w:t>Visible learning for science, grades K-12: What works best to optimize student learning.</w:t>
      </w:r>
      <w:r>
        <w:t xml:space="preserve"> Corwin Press.</w:t>
      </w:r>
    </w:p>
    <w:p w14:paraId="35C4029C" w14:textId="77777777" w:rsidR="006F36E1" w:rsidRDefault="006F36E1" w:rsidP="00911831">
      <w:pPr>
        <w:spacing w:line="360" w:lineRule="auto"/>
        <w:ind w:left="720" w:hanging="720"/>
      </w:pPr>
      <w:r>
        <w:t xml:space="preserve"> </w:t>
      </w:r>
      <w:proofErr w:type="spellStart"/>
      <w:r>
        <w:t>Eilks</w:t>
      </w:r>
      <w:proofErr w:type="spellEnd"/>
      <w:r>
        <w:t xml:space="preserve">, I., &amp; </w:t>
      </w:r>
      <w:proofErr w:type="spellStart"/>
      <w:r>
        <w:t>Hofstein</w:t>
      </w:r>
      <w:proofErr w:type="spellEnd"/>
      <w:r>
        <w:t xml:space="preserve">, A. (2017). Curriculum development in science education. In K. S. Taber &amp; B. Akpan (Eds.), </w:t>
      </w:r>
      <w:r w:rsidRPr="006F36E1">
        <w:rPr>
          <w:i/>
          <w:iCs/>
        </w:rPr>
        <w:t>Science education: An international course companion</w:t>
      </w:r>
      <w:r>
        <w:t xml:space="preserve"> (pp. 169–181)—Sense Publishers.</w:t>
      </w:r>
    </w:p>
    <w:p w14:paraId="2FE539AB" w14:textId="4B34740F" w:rsidR="006F36E1" w:rsidRDefault="006F36E1" w:rsidP="00911831">
      <w:pPr>
        <w:spacing w:line="360" w:lineRule="auto"/>
        <w:ind w:left="720" w:hanging="720"/>
      </w:pPr>
      <w:r>
        <w:t xml:space="preserve">Stuckey, M., Hofstein, A., </w:t>
      </w:r>
      <w:proofErr w:type="spellStart"/>
      <w:r>
        <w:t>Mamlok</w:t>
      </w:r>
      <w:proofErr w:type="spellEnd"/>
      <w:r>
        <w:t xml:space="preserve">-Naaman, R., &amp; </w:t>
      </w:r>
      <w:proofErr w:type="spellStart"/>
      <w:r>
        <w:t>Eilks</w:t>
      </w:r>
      <w:proofErr w:type="spellEnd"/>
      <w:r>
        <w:t xml:space="preserve">, I. (2013). The meaning of 'relevance' in science education and its implications for the science curriculum. </w:t>
      </w:r>
      <w:r w:rsidRPr="00E16C8A">
        <w:rPr>
          <w:i/>
          <w:iCs/>
        </w:rPr>
        <w:t>Studies in Science Education</w:t>
      </w:r>
      <w:r>
        <w:t xml:space="preserve">, 49(1), 1–34. </w:t>
      </w:r>
      <w:hyperlink r:id="rId6" w:history="1">
        <w:r w:rsidRPr="00E06F7C">
          <w:rPr>
            <w:rStyle w:val="Hyperlink"/>
          </w:rPr>
          <w:t>https://doi.org/10.1080/03057267.2013.802463</w:t>
        </w:r>
      </w:hyperlink>
    </w:p>
    <w:p w14:paraId="6E27D95F" w14:textId="77777777" w:rsidR="002E3FFA" w:rsidRPr="00430A3C" w:rsidRDefault="002E3FFA" w:rsidP="00430A3C">
      <w:pPr>
        <w:spacing w:line="480" w:lineRule="auto"/>
        <w:jc w:val="center"/>
      </w:pPr>
    </w:p>
    <w:p w14:paraId="302B103A" w14:textId="77777777" w:rsidR="00E6526D" w:rsidRPr="00430A3C" w:rsidRDefault="00E6526D" w:rsidP="00430A3C">
      <w:pPr>
        <w:spacing w:line="480" w:lineRule="auto"/>
      </w:pPr>
    </w:p>
    <w:p w14:paraId="0A095F25" w14:textId="77777777" w:rsidR="002974E0" w:rsidRPr="00430A3C" w:rsidRDefault="002974E0" w:rsidP="00430A3C">
      <w:pPr>
        <w:spacing w:line="480" w:lineRule="auto"/>
      </w:pPr>
    </w:p>
    <w:sectPr w:rsidR="002974E0" w:rsidRPr="00430A3C">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2C9EA" w14:textId="77777777" w:rsidR="00BE078A" w:rsidRDefault="00BE078A" w:rsidP="00B73AF7">
      <w:pPr>
        <w:spacing w:after="0" w:line="240" w:lineRule="auto"/>
      </w:pPr>
      <w:r>
        <w:separator/>
      </w:r>
    </w:p>
  </w:endnote>
  <w:endnote w:type="continuationSeparator" w:id="0">
    <w:p w14:paraId="36F32273" w14:textId="77777777" w:rsidR="00BE078A" w:rsidRDefault="00BE078A" w:rsidP="00B73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ABDEB" w14:textId="77777777" w:rsidR="00BE078A" w:rsidRDefault="00BE078A" w:rsidP="00B73AF7">
      <w:pPr>
        <w:spacing w:after="0" w:line="240" w:lineRule="auto"/>
      </w:pPr>
      <w:r>
        <w:separator/>
      </w:r>
    </w:p>
  </w:footnote>
  <w:footnote w:type="continuationSeparator" w:id="0">
    <w:p w14:paraId="35C916E0" w14:textId="77777777" w:rsidR="00BE078A" w:rsidRDefault="00BE078A" w:rsidP="00B73A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096461"/>
      <w:docPartObj>
        <w:docPartGallery w:val="Page Numbers (Top of Page)"/>
        <w:docPartUnique/>
      </w:docPartObj>
    </w:sdtPr>
    <w:sdtEndPr>
      <w:rPr>
        <w:noProof/>
      </w:rPr>
    </w:sdtEndPr>
    <w:sdtContent>
      <w:p w14:paraId="52C40357" w14:textId="3BFE25F2" w:rsidR="00B73AF7" w:rsidRDefault="00B73AF7">
        <w:pPr>
          <w:pStyle w:val="Header"/>
          <w:jc w:val="right"/>
        </w:pPr>
        <w:r>
          <w:fldChar w:fldCharType="begin"/>
        </w:r>
        <w:r>
          <w:instrText xml:space="preserve"> PAGE   \* MERGEFORMAT </w:instrText>
        </w:r>
        <w:r>
          <w:fldChar w:fldCharType="separate"/>
        </w:r>
        <w:r w:rsidR="006D3FD2">
          <w:rPr>
            <w:noProof/>
          </w:rPr>
          <w:t>5</w:t>
        </w:r>
        <w:r>
          <w:rPr>
            <w:noProof/>
          </w:rPr>
          <w:fldChar w:fldCharType="end"/>
        </w:r>
      </w:p>
    </w:sdtContent>
  </w:sdt>
  <w:p w14:paraId="0CDD3C0B" w14:textId="77777777" w:rsidR="00B73AF7" w:rsidRDefault="00B73A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AF7"/>
    <w:rsid w:val="00004C25"/>
    <w:rsid w:val="000215B1"/>
    <w:rsid w:val="000D76BB"/>
    <w:rsid w:val="000E0FCF"/>
    <w:rsid w:val="000F7D03"/>
    <w:rsid w:val="00130B29"/>
    <w:rsid w:val="00136134"/>
    <w:rsid w:val="00187CF8"/>
    <w:rsid w:val="001F636C"/>
    <w:rsid w:val="0028403A"/>
    <w:rsid w:val="002974E0"/>
    <w:rsid w:val="002B7FE5"/>
    <w:rsid w:val="002C4E43"/>
    <w:rsid w:val="002D4D11"/>
    <w:rsid w:val="002E3FFA"/>
    <w:rsid w:val="002E425F"/>
    <w:rsid w:val="00343E63"/>
    <w:rsid w:val="00375630"/>
    <w:rsid w:val="00382DB4"/>
    <w:rsid w:val="00397A30"/>
    <w:rsid w:val="003A43BE"/>
    <w:rsid w:val="00430A2C"/>
    <w:rsid w:val="00430A3C"/>
    <w:rsid w:val="00432179"/>
    <w:rsid w:val="00485B94"/>
    <w:rsid w:val="004976E2"/>
    <w:rsid w:val="004A2426"/>
    <w:rsid w:val="004B2BDC"/>
    <w:rsid w:val="004D3B4C"/>
    <w:rsid w:val="004F157F"/>
    <w:rsid w:val="004F3916"/>
    <w:rsid w:val="00512B0B"/>
    <w:rsid w:val="005D0201"/>
    <w:rsid w:val="005D1B08"/>
    <w:rsid w:val="005D6D72"/>
    <w:rsid w:val="005E5DD2"/>
    <w:rsid w:val="006522FB"/>
    <w:rsid w:val="006700A7"/>
    <w:rsid w:val="006D3FD2"/>
    <w:rsid w:val="006F2A9D"/>
    <w:rsid w:val="006F36E1"/>
    <w:rsid w:val="006F55FF"/>
    <w:rsid w:val="00715313"/>
    <w:rsid w:val="00735EEA"/>
    <w:rsid w:val="007515A5"/>
    <w:rsid w:val="0076487B"/>
    <w:rsid w:val="00782A84"/>
    <w:rsid w:val="00852253"/>
    <w:rsid w:val="00865B5C"/>
    <w:rsid w:val="00890E8D"/>
    <w:rsid w:val="008B008C"/>
    <w:rsid w:val="008E265C"/>
    <w:rsid w:val="00911831"/>
    <w:rsid w:val="009875B9"/>
    <w:rsid w:val="009E4872"/>
    <w:rsid w:val="00A61FB5"/>
    <w:rsid w:val="00A9745E"/>
    <w:rsid w:val="00AA0899"/>
    <w:rsid w:val="00AB4F40"/>
    <w:rsid w:val="00AC2627"/>
    <w:rsid w:val="00AF20DE"/>
    <w:rsid w:val="00B172F9"/>
    <w:rsid w:val="00B23614"/>
    <w:rsid w:val="00B2632D"/>
    <w:rsid w:val="00B35D0F"/>
    <w:rsid w:val="00B54CAD"/>
    <w:rsid w:val="00B65D53"/>
    <w:rsid w:val="00B73AF7"/>
    <w:rsid w:val="00B77929"/>
    <w:rsid w:val="00BC4FD8"/>
    <w:rsid w:val="00BD1419"/>
    <w:rsid w:val="00BE078A"/>
    <w:rsid w:val="00BF0C26"/>
    <w:rsid w:val="00CC34A4"/>
    <w:rsid w:val="00E06A36"/>
    <w:rsid w:val="00E06F7C"/>
    <w:rsid w:val="00E16C8A"/>
    <w:rsid w:val="00E6526D"/>
    <w:rsid w:val="00E750C9"/>
    <w:rsid w:val="00E8728B"/>
    <w:rsid w:val="00EB2778"/>
    <w:rsid w:val="00EE2FBF"/>
    <w:rsid w:val="00EE6E84"/>
    <w:rsid w:val="00F33E63"/>
    <w:rsid w:val="00FA25FE"/>
    <w:rsid w:val="00FA517A"/>
    <w:rsid w:val="00FB42EF"/>
    <w:rsid w:val="00FC60AA"/>
    <w:rsid w:val="00FE5D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EE8E3"/>
  <w15:docId w15:val="{4674D53C-533C-8C4F-BA06-2E30AC451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25F"/>
    <w:pPr>
      <w:ind w:firstLine="720"/>
    </w:pPr>
  </w:style>
  <w:style w:type="paragraph" w:styleId="Heading4">
    <w:name w:val="heading 4"/>
    <w:basedOn w:val="Normal"/>
    <w:next w:val="Normal"/>
    <w:link w:val="Heading4Char"/>
    <w:uiPriority w:val="9"/>
    <w:semiHidden/>
    <w:unhideWhenUsed/>
    <w:qFormat/>
    <w:rsid w:val="002E425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A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3AF7"/>
  </w:style>
  <w:style w:type="paragraph" w:styleId="Footer">
    <w:name w:val="footer"/>
    <w:basedOn w:val="Normal"/>
    <w:link w:val="FooterChar"/>
    <w:uiPriority w:val="99"/>
    <w:unhideWhenUsed/>
    <w:rsid w:val="00B73A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3AF7"/>
  </w:style>
  <w:style w:type="paragraph" w:styleId="NormalWeb">
    <w:name w:val="Normal (Web)"/>
    <w:basedOn w:val="Normal"/>
    <w:uiPriority w:val="99"/>
    <w:semiHidden/>
    <w:unhideWhenUsed/>
    <w:rsid w:val="002E425F"/>
    <w:rPr>
      <w:rFonts w:cs="Times New Roman"/>
      <w:szCs w:val="24"/>
    </w:rPr>
  </w:style>
  <w:style w:type="character" w:customStyle="1" w:styleId="Heading4Char">
    <w:name w:val="Heading 4 Char"/>
    <w:basedOn w:val="DefaultParagraphFont"/>
    <w:link w:val="Heading4"/>
    <w:uiPriority w:val="9"/>
    <w:semiHidden/>
    <w:rsid w:val="002E425F"/>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E06F7C"/>
    <w:rPr>
      <w:color w:val="0563C1" w:themeColor="hyperlink"/>
      <w:u w:val="single"/>
    </w:rPr>
  </w:style>
  <w:style w:type="character" w:styleId="UnresolvedMention">
    <w:name w:val="Unresolved Mention"/>
    <w:basedOn w:val="DefaultParagraphFont"/>
    <w:uiPriority w:val="99"/>
    <w:semiHidden/>
    <w:unhideWhenUsed/>
    <w:rsid w:val="00E06F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0195">
      <w:bodyDiv w:val="1"/>
      <w:marLeft w:val="0"/>
      <w:marRight w:val="0"/>
      <w:marTop w:val="0"/>
      <w:marBottom w:val="0"/>
      <w:divBdr>
        <w:top w:val="none" w:sz="0" w:space="0" w:color="auto"/>
        <w:left w:val="none" w:sz="0" w:space="0" w:color="auto"/>
        <w:bottom w:val="none" w:sz="0" w:space="0" w:color="auto"/>
        <w:right w:val="none" w:sz="0" w:space="0" w:color="auto"/>
      </w:divBdr>
    </w:div>
    <w:div w:id="415323916">
      <w:bodyDiv w:val="1"/>
      <w:marLeft w:val="0"/>
      <w:marRight w:val="0"/>
      <w:marTop w:val="0"/>
      <w:marBottom w:val="0"/>
      <w:divBdr>
        <w:top w:val="none" w:sz="0" w:space="0" w:color="auto"/>
        <w:left w:val="none" w:sz="0" w:space="0" w:color="auto"/>
        <w:bottom w:val="none" w:sz="0" w:space="0" w:color="auto"/>
        <w:right w:val="none" w:sz="0" w:space="0" w:color="auto"/>
      </w:divBdr>
      <w:divsChild>
        <w:div w:id="177040012">
          <w:marLeft w:val="0"/>
          <w:marRight w:val="0"/>
          <w:marTop w:val="0"/>
          <w:marBottom w:val="0"/>
          <w:divBdr>
            <w:top w:val="none" w:sz="0" w:space="0" w:color="auto"/>
            <w:left w:val="none" w:sz="0" w:space="0" w:color="auto"/>
            <w:bottom w:val="none" w:sz="0" w:space="0" w:color="auto"/>
            <w:right w:val="none" w:sz="0" w:space="0" w:color="auto"/>
          </w:divBdr>
          <w:divsChild>
            <w:div w:id="1269504369">
              <w:marLeft w:val="0"/>
              <w:marRight w:val="0"/>
              <w:marTop w:val="0"/>
              <w:marBottom w:val="0"/>
              <w:divBdr>
                <w:top w:val="none" w:sz="0" w:space="0" w:color="auto"/>
                <w:left w:val="none" w:sz="0" w:space="0" w:color="auto"/>
                <w:bottom w:val="none" w:sz="0" w:space="0" w:color="auto"/>
                <w:right w:val="none" w:sz="0" w:space="0" w:color="auto"/>
              </w:divBdr>
              <w:divsChild>
                <w:div w:id="19227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164914">
      <w:bodyDiv w:val="1"/>
      <w:marLeft w:val="0"/>
      <w:marRight w:val="0"/>
      <w:marTop w:val="0"/>
      <w:marBottom w:val="0"/>
      <w:divBdr>
        <w:top w:val="none" w:sz="0" w:space="0" w:color="auto"/>
        <w:left w:val="none" w:sz="0" w:space="0" w:color="auto"/>
        <w:bottom w:val="none" w:sz="0" w:space="0" w:color="auto"/>
        <w:right w:val="none" w:sz="0" w:space="0" w:color="auto"/>
      </w:divBdr>
      <w:divsChild>
        <w:div w:id="1636830707">
          <w:marLeft w:val="0"/>
          <w:marRight w:val="0"/>
          <w:marTop w:val="0"/>
          <w:marBottom w:val="0"/>
          <w:divBdr>
            <w:top w:val="none" w:sz="0" w:space="0" w:color="auto"/>
            <w:left w:val="none" w:sz="0" w:space="0" w:color="auto"/>
            <w:bottom w:val="none" w:sz="0" w:space="0" w:color="auto"/>
            <w:right w:val="none" w:sz="0" w:space="0" w:color="auto"/>
          </w:divBdr>
          <w:divsChild>
            <w:div w:id="973291984">
              <w:marLeft w:val="0"/>
              <w:marRight w:val="0"/>
              <w:marTop w:val="0"/>
              <w:marBottom w:val="0"/>
              <w:divBdr>
                <w:top w:val="none" w:sz="0" w:space="0" w:color="auto"/>
                <w:left w:val="none" w:sz="0" w:space="0" w:color="auto"/>
                <w:bottom w:val="none" w:sz="0" w:space="0" w:color="auto"/>
                <w:right w:val="none" w:sz="0" w:space="0" w:color="auto"/>
              </w:divBdr>
              <w:divsChild>
                <w:div w:id="2464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041814">
      <w:bodyDiv w:val="1"/>
      <w:marLeft w:val="0"/>
      <w:marRight w:val="0"/>
      <w:marTop w:val="0"/>
      <w:marBottom w:val="0"/>
      <w:divBdr>
        <w:top w:val="none" w:sz="0" w:space="0" w:color="auto"/>
        <w:left w:val="none" w:sz="0" w:space="0" w:color="auto"/>
        <w:bottom w:val="none" w:sz="0" w:space="0" w:color="auto"/>
        <w:right w:val="none" w:sz="0" w:space="0" w:color="auto"/>
      </w:divBdr>
    </w:div>
    <w:div w:id="910120974">
      <w:bodyDiv w:val="1"/>
      <w:marLeft w:val="0"/>
      <w:marRight w:val="0"/>
      <w:marTop w:val="0"/>
      <w:marBottom w:val="0"/>
      <w:divBdr>
        <w:top w:val="none" w:sz="0" w:space="0" w:color="auto"/>
        <w:left w:val="none" w:sz="0" w:space="0" w:color="auto"/>
        <w:bottom w:val="none" w:sz="0" w:space="0" w:color="auto"/>
        <w:right w:val="none" w:sz="0" w:space="0" w:color="auto"/>
      </w:divBdr>
    </w:div>
    <w:div w:id="960768233">
      <w:bodyDiv w:val="1"/>
      <w:marLeft w:val="0"/>
      <w:marRight w:val="0"/>
      <w:marTop w:val="0"/>
      <w:marBottom w:val="0"/>
      <w:divBdr>
        <w:top w:val="none" w:sz="0" w:space="0" w:color="auto"/>
        <w:left w:val="none" w:sz="0" w:space="0" w:color="auto"/>
        <w:bottom w:val="none" w:sz="0" w:space="0" w:color="auto"/>
        <w:right w:val="none" w:sz="0" w:space="0" w:color="auto"/>
      </w:divBdr>
    </w:div>
    <w:div w:id="1413896454">
      <w:bodyDiv w:val="1"/>
      <w:marLeft w:val="0"/>
      <w:marRight w:val="0"/>
      <w:marTop w:val="0"/>
      <w:marBottom w:val="0"/>
      <w:divBdr>
        <w:top w:val="none" w:sz="0" w:space="0" w:color="auto"/>
        <w:left w:val="none" w:sz="0" w:space="0" w:color="auto"/>
        <w:bottom w:val="none" w:sz="0" w:space="0" w:color="auto"/>
        <w:right w:val="none" w:sz="0" w:space="0" w:color="auto"/>
      </w:divBdr>
      <w:divsChild>
        <w:div w:id="1274023319">
          <w:marLeft w:val="0"/>
          <w:marRight w:val="0"/>
          <w:marTop w:val="0"/>
          <w:marBottom w:val="0"/>
          <w:divBdr>
            <w:top w:val="none" w:sz="0" w:space="0" w:color="auto"/>
            <w:left w:val="none" w:sz="0" w:space="0" w:color="auto"/>
            <w:bottom w:val="none" w:sz="0" w:space="0" w:color="auto"/>
            <w:right w:val="none" w:sz="0" w:space="0" w:color="auto"/>
          </w:divBdr>
          <w:divsChild>
            <w:div w:id="2095203665">
              <w:marLeft w:val="0"/>
              <w:marRight w:val="0"/>
              <w:marTop w:val="0"/>
              <w:marBottom w:val="0"/>
              <w:divBdr>
                <w:top w:val="none" w:sz="0" w:space="0" w:color="auto"/>
                <w:left w:val="none" w:sz="0" w:space="0" w:color="auto"/>
                <w:bottom w:val="none" w:sz="0" w:space="0" w:color="auto"/>
                <w:right w:val="none" w:sz="0" w:space="0" w:color="auto"/>
              </w:divBdr>
              <w:divsChild>
                <w:div w:id="2850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17351">
      <w:bodyDiv w:val="1"/>
      <w:marLeft w:val="0"/>
      <w:marRight w:val="0"/>
      <w:marTop w:val="0"/>
      <w:marBottom w:val="0"/>
      <w:divBdr>
        <w:top w:val="none" w:sz="0" w:space="0" w:color="auto"/>
        <w:left w:val="none" w:sz="0" w:space="0" w:color="auto"/>
        <w:bottom w:val="none" w:sz="0" w:space="0" w:color="auto"/>
        <w:right w:val="none" w:sz="0" w:space="0" w:color="auto"/>
      </w:divBdr>
      <w:divsChild>
        <w:div w:id="1518427168">
          <w:marLeft w:val="0"/>
          <w:marRight w:val="0"/>
          <w:marTop w:val="0"/>
          <w:marBottom w:val="0"/>
          <w:divBdr>
            <w:top w:val="none" w:sz="0" w:space="0" w:color="auto"/>
            <w:left w:val="none" w:sz="0" w:space="0" w:color="auto"/>
            <w:bottom w:val="none" w:sz="0" w:space="0" w:color="auto"/>
            <w:right w:val="none" w:sz="0" w:space="0" w:color="auto"/>
          </w:divBdr>
          <w:divsChild>
            <w:div w:id="511257959">
              <w:marLeft w:val="0"/>
              <w:marRight w:val="0"/>
              <w:marTop w:val="0"/>
              <w:marBottom w:val="0"/>
              <w:divBdr>
                <w:top w:val="none" w:sz="0" w:space="0" w:color="auto"/>
                <w:left w:val="none" w:sz="0" w:space="0" w:color="auto"/>
                <w:bottom w:val="none" w:sz="0" w:space="0" w:color="auto"/>
                <w:right w:val="none" w:sz="0" w:space="0" w:color="auto"/>
              </w:divBdr>
              <w:divsChild>
                <w:div w:id="160433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80/03057267.2013.802463"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103</TotalTime>
  <Pages>4</Pages>
  <Words>957</Words>
  <Characters>5459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Abdulrahman Mudheb Saleh Al Babakri (Miral Experiences)</cp:lastModifiedBy>
  <cp:revision>48</cp:revision>
  <dcterms:created xsi:type="dcterms:W3CDTF">2026-01-25T17:35:00Z</dcterms:created>
  <dcterms:modified xsi:type="dcterms:W3CDTF">2026-02-15T10:39:00Z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7250f454-4472-413f-b4cf-c5fb54ae61de</vt:lpwstr>
  </property>
  <property fmtid="{D5CDD505-2E9C-101B-9397-08002B2CF9AE}" pid="3" name="MSIP_Label_fe1c5235-23fc-43dc-a60e-9ba5e777df86_Enabled">
    <vt:lpwstr>true</vt:lpwstr>
  </property>
  <property fmtid="{D5CDD505-2E9C-101B-9397-08002B2CF9AE}" pid="4" name="MSIP_Label_fe1c5235-23fc-43dc-a60e-9ba5e777df86_SetDate">
    <vt:lpwstr>2025-10-04T16:33:02Z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42dec7a7-5a00-4f58-bba9-6feb51aed122</vt:lpwstr>
  </property>
  <property fmtid="{D5CDD505-2E9C-101B-9397-08002B2CF9AE}" pid="9" name="MSIP_Label_fe1c5235-23fc-43dc-a60e-9ba5e777df86_ContentBits">
    <vt:lpwstr>0</vt:lpwstr>
  </property>
</Properties>
</file>