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2CA0EBCF" w:rsidR="00B73AF7" w:rsidRPr="002E425F" w:rsidRDefault="00B73AF7" w:rsidP="002E425F">
      <w:pPr>
        <w:spacing w:after="0" w:line="480" w:lineRule="auto"/>
        <w:jc w:val="center"/>
        <w:rPr>
          <w:rFonts w:cs="Times New Roman"/>
          <w:b/>
          <w:szCs w:val="24"/>
          <w:lang w:val="en-GB"/>
        </w:rPr>
      </w:pPr>
      <w:r w:rsidRPr="002E425F">
        <w:rPr>
          <w:rFonts w:cs="Times New Roman"/>
          <w:b/>
          <w:szCs w:val="24"/>
          <w:lang w:val="en-GB"/>
        </w:rPr>
        <w:t xml:space="preserve">Reflective </w:t>
      </w:r>
      <w:r w:rsidR="00B54CAD" w:rsidRPr="002E425F">
        <w:rPr>
          <w:rFonts w:cs="Times New Roman"/>
          <w:b/>
          <w:szCs w:val="24"/>
          <w:lang w:val="en-GB"/>
        </w:rPr>
        <w:t xml:space="preserve">Journal </w:t>
      </w:r>
      <w:r w:rsidRPr="002E425F">
        <w:rPr>
          <w:rFonts w:cs="Times New Roman"/>
          <w:b/>
          <w:szCs w:val="24"/>
          <w:lang w:val="en-GB"/>
        </w:rPr>
        <w:t xml:space="preserve">Entry </w:t>
      </w:r>
      <w:r w:rsidR="002E425F">
        <w:rPr>
          <w:rFonts w:cs="Times New Roman"/>
          <w:b/>
          <w:szCs w:val="24"/>
          <w:lang w:val="en-GB"/>
        </w:rPr>
        <w:t>1</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7835C476" w:rsidR="002E425F" w:rsidRPr="002E425F" w:rsidRDefault="00FC60AA" w:rsidP="002E425F">
      <w:pPr>
        <w:spacing w:after="0" w:line="480" w:lineRule="auto"/>
        <w:jc w:val="center"/>
        <w:rPr>
          <w:rFonts w:cs="Times New Roman"/>
          <w:szCs w:val="24"/>
          <w:lang w:val="en-AE"/>
        </w:rPr>
      </w:pPr>
      <w:r w:rsidRPr="00FC60AA">
        <w:rPr>
          <w:rFonts w:cs="Times New Roman"/>
          <w:szCs w:val="24"/>
          <w:lang w:val="en-AE"/>
        </w:rPr>
        <w:t>EDUSPPP2</w:t>
      </w:r>
      <w:r w:rsidR="002E425F">
        <w:rPr>
          <w:rFonts w:cs="Times New Roman"/>
          <w:szCs w:val="24"/>
          <w:lang w:val="en-GB"/>
        </w:rPr>
        <w:t xml:space="preserve">: </w:t>
      </w:r>
      <w:r w:rsidR="002E425F" w:rsidRPr="002E425F">
        <w:rPr>
          <w:lang w:val="en-AE"/>
        </w:rPr>
        <w:t xml:space="preserve">Secondary Professional Practice Placement- </w:t>
      </w:r>
      <w:r w:rsidR="005D1B08">
        <w:rPr>
          <w:lang w:val="en-AE"/>
        </w:rPr>
        <w:t>2</w:t>
      </w:r>
      <w:r w:rsidR="002E425F" w:rsidRPr="002E425F">
        <w:rPr>
          <w:lang w:val="en-AE"/>
        </w:rPr>
        <w:t xml:space="preserve"> (SPPP</w:t>
      </w:r>
      <w:r w:rsidR="00FE5D8A">
        <w:rPr>
          <w:lang w:val="en-AE"/>
        </w:rPr>
        <w:t>2</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523DFAFC" w:rsidR="002E425F" w:rsidRPr="00781C64" w:rsidRDefault="005D1B08" w:rsidP="002E425F">
      <w:pPr>
        <w:spacing w:after="0" w:line="480" w:lineRule="auto"/>
        <w:jc w:val="center"/>
        <w:rPr>
          <w:rFonts w:cs="Times New Roman"/>
          <w:szCs w:val="24"/>
          <w:lang w:val="en-GB"/>
        </w:rPr>
      </w:pPr>
      <w:r>
        <w:rPr>
          <w:rFonts w:cs="Times New Roman"/>
          <w:szCs w:val="24"/>
          <w:lang w:val="en-GB"/>
        </w:rPr>
        <w:t>January</w:t>
      </w:r>
      <w:r w:rsidR="002E425F">
        <w:rPr>
          <w:rFonts w:cs="Times New Roman"/>
          <w:szCs w:val="24"/>
          <w:lang w:val="en-GB"/>
        </w:rPr>
        <w:t xml:space="preserve"> </w:t>
      </w:r>
      <w:r>
        <w:rPr>
          <w:rFonts w:cs="Times New Roman"/>
          <w:szCs w:val="24"/>
          <w:lang w:val="en-GB"/>
        </w:rPr>
        <w:t>25</w:t>
      </w:r>
      <w:r w:rsidR="002E425F">
        <w:rPr>
          <w:rFonts w:cs="Times New Roman"/>
          <w:szCs w:val="24"/>
          <w:lang w:val="en-GB"/>
        </w:rPr>
        <w:t xml:space="preserve">, </w:t>
      </w:r>
      <w:r w:rsidR="002E425F" w:rsidRPr="00A45058">
        <w:rPr>
          <w:rFonts w:cs="Times New Roman"/>
          <w:szCs w:val="24"/>
          <w:lang w:val="en-GB"/>
        </w:rPr>
        <w:t>202</w:t>
      </w:r>
      <w:r>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430A3C">
      <w:pPr>
        <w:spacing w:line="480" w:lineRule="auto"/>
        <w:jc w:val="center"/>
      </w:pPr>
      <w:r w:rsidRPr="00EE2FBF">
        <w:rPr>
          <w:b/>
          <w:bCs/>
        </w:rPr>
        <w:lastRenderedPageBreak/>
        <w:t>Description</w:t>
      </w:r>
    </w:p>
    <w:p w14:paraId="70827A51" w14:textId="5865D8F6" w:rsidR="00FA517A" w:rsidRDefault="00FA517A" w:rsidP="00FA517A">
      <w:pPr>
        <w:spacing w:line="480" w:lineRule="auto"/>
      </w:pPr>
      <w:r w:rsidRPr="00FA517A">
        <w:t xml:space="preserve">Throughout the last few weeks, the development of my professional competencies as a trainee science educator has been influenced by the systematic conduct of lesson observations, which included micro-teaching activities. Two whole lessons taught by Mr. </w:t>
      </w:r>
      <w:proofErr w:type="spellStart"/>
      <w:r w:rsidRPr="00FA517A">
        <w:t>Moussad</w:t>
      </w:r>
      <w:proofErr w:type="spellEnd"/>
      <w:r w:rsidRPr="00FA517A">
        <w:t xml:space="preserve"> Abdalla, were observed by me—one about Ionic Compounds, which included the discussion of the naming, writing of the formula, and properties of Ionic Compounds, while the second lesson was about the concept of covalent bonding, which included the discussion of electronegativity, the writing of the Lewis structure, and the application of molecular modeling to the concept of covalent bonding. After the lesson observations, the next step was to teach the first 15 minutes of an advanced lesson for Grade 10 students about the concept of the mole using an active teaching strategy by incorporating the use of analogies—a dozen, a ream of paper, direct instruction about the application of the mole using the concept of Avogadro’s Number, and the application of questioning to assess student learning outcomes. I would like to thank my mentor</w:t>
      </w:r>
      <w:r w:rsidR="005D0201">
        <w:t xml:space="preserve">, Mr. </w:t>
      </w:r>
      <w:proofErr w:type="gramStart"/>
      <w:r w:rsidR="005D0201">
        <w:t>Hatem</w:t>
      </w:r>
      <w:proofErr w:type="gramEnd"/>
      <w:r w:rsidR="005D0201">
        <w:t xml:space="preserve"> </w:t>
      </w:r>
      <w:r w:rsidRPr="00FA517A">
        <w:t>for the guidance he provided to help develop my teaching competencies.</w:t>
      </w:r>
    </w:p>
    <w:p w14:paraId="51CA83D9" w14:textId="5603F2B2" w:rsidR="00EE2FBF" w:rsidRPr="004B2BDC" w:rsidRDefault="00EE2FBF" w:rsidP="004B2BDC">
      <w:pPr>
        <w:spacing w:line="480" w:lineRule="auto"/>
        <w:jc w:val="center"/>
      </w:pPr>
      <w:r w:rsidRPr="004B2BDC">
        <w:rPr>
          <w:b/>
          <w:bCs/>
        </w:rPr>
        <w:t>Evaluation</w:t>
      </w:r>
    </w:p>
    <w:p w14:paraId="0124B4FA" w14:textId="77777777" w:rsidR="007515A5" w:rsidRDefault="007515A5" w:rsidP="005E5DD2">
      <w:pPr>
        <w:spacing w:line="480" w:lineRule="auto"/>
      </w:pPr>
      <w:r w:rsidRPr="007515A5">
        <w:t xml:space="preserve">These observed lessons showed strong efficacy for building conceptual and procedural knowledge. The incorporation of cooperative activities, clear ‘I can…’ targets, and accommodations for struggling students, such as simplified guides for difficulties, were effective. For my teaching practice, analogies were effective for making one concept more accessible. No-hands-up questions were also effective for increasing overall student participation. My mentor also praised me for strong presence, clearness, and rapport with the class. However, areas for development were also given. For example, while teaching, I should vary my body </w:t>
      </w:r>
      <w:proofErr w:type="gramStart"/>
      <w:r w:rsidRPr="007515A5">
        <w:t>positioning</w:t>
      </w:r>
      <w:proofErr w:type="gramEnd"/>
      <w:r w:rsidRPr="007515A5">
        <w:t xml:space="preserve"> within the classroom for more balanced student </w:t>
      </w:r>
      <w:r w:rsidRPr="007515A5">
        <w:lastRenderedPageBreak/>
        <w:t>engagement. In addition, while teaching complex terminology, such as ‘Avogadro’s number,’ I should slow down. Lastly, while the observed lessons were strong for building conceptual knowledge, they lacked exploration and connections with ‘real-world’ significance. This was also seen as a weakness after the observation.</w:t>
      </w:r>
    </w:p>
    <w:p w14:paraId="01EB3C14" w14:textId="77187A9C" w:rsidR="00EE2FBF" w:rsidRPr="00890E8D" w:rsidRDefault="00EE2FBF" w:rsidP="00430A3C">
      <w:pPr>
        <w:spacing w:line="480" w:lineRule="auto"/>
        <w:jc w:val="center"/>
      </w:pPr>
      <w:r w:rsidRPr="00890E8D">
        <w:rPr>
          <w:b/>
          <w:bCs/>
        </w:rPr>
        <w:t>Analysis</w:t>
      </w:r>
    </w:p>
    <w:p w14:paraId="4116DE59" w14:textId="44DED7EA" w:rsidR="005E5DD2" w:rsidRDefault="005E5DD2" w:rsidP="005E5DD2">
      <w:pPr>
        <w:spacing w:line="480" w:lineRule="auto"/>
      </w:pPr>
      <w:r>
        <w:t>Analyzing these experiences through theoretical lenses from the provided readings deepens my understanding of effective science pedagogy. Firstly, Mr. Abdalla’s teaching demonstrated advanced Pedagogical Content Knowledge (PCK) (Shulman, 1986</w:t>
      </w:r>
      <w:r w:rsidR="00397A30">
        <w:t>)</w:t>
      </w:r>
      <w:r w:rsidR="006F55FF">
        <w:t xml:space="preserve">. </w:t>
      </w:r>
      <w:r>
        <w:t xml:space="preserve">For example, Mr. Abdalla’s activity with ionic compounds and the use of the ‘card sort’ method targeted common misconceptions among students regarding the correct usage of parentheses. This practice is consistent with the teacher as a ‘learning doctor’ (Taber, </w:t>
      </w:r>
      <w:r w:rsidR="00F33E63">
        <w:t>2001) who</w:t>
      </w:r>
      <w:r>
        <w:t xml:space="preserve"> meets the learning needs of their pupils by creating appropriate learning activities.</w:t>
      </w:r>
    </w:p>
    <w:p w14:paraId="255CCED4" w14:textId="77777777" w:rsidR="005E5DD2" w:rsidRDefault="005E5DD2" w:rsidP="005E5DD2">
      <w:pPr>
        <w:spacing w:line="480" w:lineRule="auto"/>
      </w:pPr>
      <w:r>
        <w:t>A second concern relates to the balance of conceptual and contextual relevance, which is exposed in this analysis. Although the instructional lessons succeed in providing foundational understanding by concentrating on what is generally considered by educationalists to be the “big ideas” of chemistry, these lessons do not adequately investigate the aspect of societal or personal relevance, as discussed in De Jong &amp; Talanquer, n.d. Empirical studies suggest that students benefit when the big ideas of chemistry, such as health and the environment, are made more relevant within their own lives. However, my use of analogies, such as a dozen or a ream, was intended in part to help students personally relate more easily to the concept of moles. However, a more relevant anchoring concept, such as water quality or dietary electrolyte balance, can help further increase the level of personal, social, and vocational relevance, as discussed in Stuckey et al. (2013), cited in De Jong &amp; Talanquer, n.d.</w:t>
      </w:r>
    </w:p>
    <w:p w14:paraId="1D3F8F35" w14:textId="77777777" w:rsidR="005E5DD2" w:rsidRDefault="005E5DD2" w:rsidP="005E5DD2">
      <w:pPr>
        <w:spacing w:line="480" w:lineRule="auto"/>
      </w:pPr>
      <w:r>
        <w:lastRenderedPageBreak/>
        <w:t>Thirdly, the lessons taught structured or guided inquiry but did not give students sufficient access to open inquiry or explicit Nature of Scientific Inquiry (NOSI). As Lederman (n.d.) puts it, "Understanding how scientific knowledge is constructed as tentative, creative, and theory-laden is crucial for scientific literacy." While students did get hands-on experience with scientific inquiry, they did not get enough chances to explore aspects of scientific inquiry (e.g., "How did we test this hypothesis?" or "Why do we know this to be true?"). The inclusion of short "pauses" to explore aspects of scientific inquiry can promote students' understanding of NOSI without compromising science content coverage.</w:t>
      </w:r>
    </w:p>
    <w:p w14:paraId="26F67ECB" w14:textId="569B41FE" w:rsidR="00EE2FBF" w:rsidRPr="00EE2FBF" w:rsidRDefault="00EE2FBF" w:rsidP="005E5DD2">
      <w:pPr>
        <w:spacing w:line="480" w:lineRule="auto"/>
        <w:jc w:val="center"/>
      </w:pPr>
      <w:r w:rsidRPr="00EE2FBF">
        <w:rPr>
          <w:b/>
          <w:bCs/>
        </w:rPr>
        <w:t>Conclusion</w:t>
      </w:r>
    </w:p>
    <w:p w14:paraId="480CDEAD" w14:textId="70478D50" w:rsidR="00E750C9" w:rsidRPr="00430A3C" w:rsidRDefault="000E0FCF" w:rsidP="00430A3C">
      <w:pPr>
        <w:spacing w:line="480" w:lineRule="auto"/>
      </w:pPr>
      <w:r w:rsidRPr="000E0FCF">
        <w:t xml:space="preserve">Going forward, it’s my intention to integrate these understandings within my teaching practice in several ways. One way in which I plan to do so is by developing lessons that effectively balance understanding with contextual relevance by ensuring that each unit or course begins with an introductory socio-scientific issue (e.g., Ionic Compounds in Electrolytes or Environmental Remediation) in order to create a need-to-know scenario that motivates the learning process. Another way in which I plan to integrate these understandings within my teaching practice involves explicitly discussing aspects related to NOSI (Nature of Scientific Inquiry) and NOSK (Nature of Scientific Knowledge) within an inquiry-based activity by employing discussion prompts that help my students understand how scientific knowledge is constructed and why it’s subject to revision at any moment in time. One other way in which I plan to improve my teaching presence involves continuing to work at being more active in the room by physically moving around the room </w:t>
      </w:r>
      <w:proofErr w:type="gramStart"/>
      <w:r w:rsidRPr="000E0FCF">
        <w:t>in order to</w:t>
      </w:r>
      <w:proofErr w:type="gramEnd"/>
      <w:r w:rsidRPr="000E0FCF">
        <w:t xml:space="preserve"> better engage my students and by employing pair-share techniques </w:t>
      </w:r>
      <w:proofErr w:type="gramStart"/>
      <w:r w:rsidRPr="000E0FCF">
        <w:t>in order to</w:t>
      </w:r>
      <w:proofErr w:type="gramEnd"/>
      <w:r w:rsidRPr="000E0FCF">
        <w:t xml:space="preserve"> emphasize the instructional goals set out within each unit or course.</w:t>
      </w:r>
      <w:r w:rsidR="00E750C9" w:rsidRPr="00430A3C">
        <w:br w:type="page"/>
      </w:r>
    </w:p>
    <w:p w14:paraId="0C627CFA" w14:textId="2C58217E" w:rsidR="00E750C9" w:rsidRPr="00E750C9" w:rsidRDefault="00E750C9" w:rsidP="00FB42EF">
      <w:pPr>
        <w:spacing w:line="480" w:lineRule="auto"/>
        <w:jc w:val="center"/>
      </w:pPr>
      <w:r w:rsidRPr="00E750C9">
        <w:rPr>
          <w:b/>
          <w:bCs/>
        </w:rPr>
        <w:lastRenderedPageBreak/>
        <w:t>References</w:t>
      </w:r>
    </w:p>
    <w:p w14:paraId="089139A7" w14:textId="77777777" w:rsidR="00485B94" w:rsidRDefault="00485B94" w:rsidP="00485B94">
      <w:pPr>
        <w:spacing w:line="480" w:lineRule="auto"/>
        <w:ind w:left="720" w:hanging="720"/>
      </w:pPr>
      <w:r>
        <w:t xml:space="preserve">De Jong, O., &amp; </w:t>
      </w:r>
      <w:proofErr w:type="spellStart"/>
      <w:r>
        <w:t>Talanquer</w:t>
      </w:r>
      <w:proofErr w:type="spellEnd"/>
      <w:r>
        <w:t xml:space="preserve">, V. (n.d.). </w:t>
      </w:r>
      <w:r w:rsidRPr="00E8728B">
        <w:rPr>
          <w:i/>
          <w:iCs/>
        </w:rPr>
        <w:t>Why is it relevant to learn the big ideas in chemistry at school?</w:t>
      </w:r>
    </w:p>
    <w:p w14:paraId="465D6D7F" w14:textId="77777777" w:rsidR="00485B94" w:rsidRDefault="00485B94" w:rsidP="00485B94">
      <w:pPr>
        <w:spacing w:line="480" w:lineRule="auto"/>
        <w:ind w:left="720" w:hanging="720"/>
      </w:pPr>
      <w:r>
        <w:t xml:space="preserve">Garrett, C. (n.d.). </w:t>
      </w:r>
      <w:r w:rsidRPr="00E8728B">
        <w:rPr>
          <w:i/>
          <w:iCs/>
        </w:rPr>
        <w:t>Managing your professional learning</w:t>
      </w:r>
      <w:r>
        <w:t xml:space="preserve">. In M. </w:t>
      </w:r>
      <w:proofErr w:type="spellStart"/>
      <w:r>
        <w:t>Toplis</w:t>
      </w:r>
      <w:proofErr w:type="spellEnd"/>
      <w:r>
        <w:t xml:space="preserve"> (Ed.), Becoming a science teacher.</w:t>
      </w:r>
    </w:p>
    <w:p w14:paraId="093E72F6" w14:textId="77777777" w:rsidR="00485B94" w:rsidRDefault="00485B94" w:rsidP="00485B94">
      <w:pPr>
        <w:spacing w:line="480" w:lineRule="auto"/>
        <w:ind w:left="720" w:hanging="720"/>
      </w:pPr>
      <w:r>
        <w:t>Lederman, N. G. (n.d.). Nature of scientific knowledge and scientific inquiry in biology teaching.</w:t>
      </w:r>
    </w:p>
    <w:p w14:paraId="4E892427" w14:textId="3BCD0855" w:rsidR="00432179" w:rsidRPr="00E750C9" w:rsidRDefault="00485B94" w:rsidP="00485B94">
      <w:pPr>
        <w:spacing w:line="480" w:lineRule="auto"/>
        <w:ind w:left="720" w:hanging="720"/>
      </w:pPr>
      <w:proofErr w:type="spellStart"/>
      <w:r>
        <w:t>Toplis</w:t>
      </w:r>
      <w:proofErr w:type="spellEnd"/>
      <w:r>
        <w:t xml:space="preserve">, R. (n.d.). </w:t>
      </w:r>
      <w:r w:rsidRPr="00FA25FE">
        <w:rPr>
          <w:i/>
          <w:iCs/>
        </w:rPr>
        <w:t>Learning to be a science teacher</w:t>
      </w:r>
      <w:r>
        <w:t xml:space="preserve">, in M. </w:t>
      </w:r>
      <w:proofErr w:type="spellStart"/>
      <w:r>
        <w:t>Toplis</w:t>
      </w:r>
      <w:proofErr w:type="spellEnd"/>
      <w:r>
        <w:t xml:space="preserve"> (Ed.), Becoming a science teacher.</w:t>
      </w:r>
    </w:p>
    <w:p w14:paraId="6E27D95F" w14:textId="77777777" w:rsidR="002E3FFA" w:rsidRPr="00430A3C" w:rsidRDefault="002E3FFA" w:rsidP="00430A3C">
      <w:pPr>
        <w:spacing w:line="480" w:lineRule="auto"/>
        <w:jc w:val="center"/>
      </w:pPr>
    </w:p>
    <w:p w14:paraId="302B103A" w14:textId="77777777" w:rsidR="00E6526D" w:rsidRPr="00430A3C" w:rsidRDefault="00E6526D" w:rsidP="00430A3C">
      <w:pPr>
        <w:spacing w:line="480" w:lineRule="auto"/>
      </w:pPr>
    </w:p>
    <w:p w14:paraId="0A095F25" w14:textId="77777777" w:rsidR="002974E0" w:rsidRPr="00430A3C" w:rsidRDefault="002974E0" w:rsidP="00430A3C">
      <w:pPr>
        <w:spacing w:line="480" w:lineRule="auto"/>
      </w:pPr>
    </w:p>
    <w:sectPr w:rsidR="002974E0" w:rsidRPr="00430A3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9B8C3" w14:textId="77777777" w:rsidR="00B519C4" w:rsidRDefault="00B519C4" w:rsidP="00B73AF7">
      <w:pPr>
        <w:spacing w:after="0" w:line="240" w:lineRule="auto"/>
      </w:pPr>
      <w:r>
        <w:separator/>
      </w:r>
    </w:p>
  </w:endnote>
  <w:endnote w:type="continuationSeparator" w:id="0">
    <w:p w14:paraId="6C75188B" w14:textId="77777777" w:rsidR="00B519C4" w:rsidRDefault="00B519C4"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31159" w14:textId="77777777" w:rsidR="00B519C4" w:rsidRDefault="00B519C4" w:rsidP="00B73AF7">
      <w:pPr>
        <w:spacing w:after="0" w:line="240" w:lineRule="auto"/>
      </w:pPr>
      <w:r>
        <w:separator/>
      </w:r>
    </w:p>
  </w:footnote>
  <w:footnote w:type="continuationSeparator" w:id="0">
    <w:p w14:paraId="2D63EA11" w14:textId="77777777" w:rsidR="00B519C4" w:rsidRDefault="00B519C4"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215B1"/>
    <w:rsid w:val="000E0FCF"/>
    <w:rsid w:val="00130B29"/>
    <w:rsid w:val="00136134"/>
    <w:rsid w:val="002974E0"/>
    <w:rsid w:val="002B7FE5"/>
    <w:rsid w:val="002C4E43"/>
    <w:rsid w:val="002C6DAD"/>
    <w:rsid w:val="002E3FFA"/>
    <w:rsid w:val="002E425F"/>
    <w:rsid w:val="00375630"/>
    <w:rsid w:val="00382DB4"/>
    <w:rsid w:val="00397A30"/>
    <w:rsid w:val="003A43BE"/>
    <w:rsid w:val="00430A3C"/>
    <w:rsid w:val="00432179"/>
    <w:rsid w:val="00485B94"/>
    <w:rsid w:val="004976E2"/>
    <w:rsid w:val="004A2426"/>
    <w:rsid w:val="004B2BDC"/>
    <w:rsid w:val="004C7232"/>
    <w:rsid w:val="004D3B4C"/>
    <w:rsid w:val="004F3916"/>
    <w:rsid w:val="005D0201"/>
    <w:rsid w:val="005D1B08"/>
    <w:rsid w:val="005E5DD2"/>
    <w:rsid w:val="006522FB"/>
    <w:rsid w:val="006D3FD2"/>
    <w:rsid w:val="006F2A9D"/>
    <w:rsid w:val="006F55FF"/>
    <w:rsid w:val="00735EEA"/>
    <w:rsid w:val="007515A5"/>
    <w:rsid w:val="0076487B"/>
    <w:rsid w:val="00890E8D"/>
    <w:rsid w:val="009875B9"/>
    <w:rsid w:val="009E4872"/>
    <w:rsid w:val="00A61FB5"/>
    <w:rsid w:val="00AF20DE"/>
    <w:rsid w:val="00B172F9"/>
    <w:rsid w:val="00B2632D"/>
    <w:rsid w:val="00B519C4"/>
    <w:rsid w:val="00B54CAD"/>
    <w:rsid w:val="00B65D53"/>
    <w:rsid w:val="00B73AF7"/>
    <w:rsid w:val="00BC4FD8"/>
    <w:rsid w:val="00BD1419"/>
    <w:rsid w:val="00BF0C26"/>
    <w:rsid w:val="00CC34A4"/>
    <w:rsid w:val="00E6526D"/>
    <w:rsid w:val="00E750C9"/>
    <w:rsid w:val="00E8728B"/>
    <w:rsid w:val="00EE2FBF"/>
    <w:rsid w:val="00EE6E84"/>
    <w:rsid w:val="00F33E63"/>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30</TotalTime>
  <Pages>5</Pages>
  <Words>950</Words>
  <Characters>5424</Characters>
  <Application>Microsoft Office Word</Application>
  <DocSecurity>0</DocSecurity>
  <Lines>94</Lines>
  <Paragraphs>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 Babakri (Miral Experiences)</cp:lastModifiedBy>
  <cp:revision>23</cp:revision>
  <dcterms:created xsi:type="dcterms:W3CDTF">2026-01-25T17:35:00Z</dcterms:created>
  <dcterms:modified xsi:type="dcterms:W3CDTF">2026-02-22T07:17:00Z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