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AA0AE6" w14:textId="77777777" w:rsidR="00E43FE7" w:rsidRPr="00781C64" w:rsidRDefault="00E43FE7" w:rsidP="00E43FE7">
      <w:pPr>
        <w:spacing w:line="480" w:lineRule="auto"/>
        <w:jc w:val="center"/>
        <w:rPr>
          <w:rFonts w:ascii="Times New Roman" w:hAnsi="Times New Roman" w:cs="Times New Roman"/>
          <w:b/>
          <w:lang w:val="en-GB"/>
        </w:rPr>
      </w:pPr>
    </w:p>
    <w:p w14:paraId="5070C5C3" w14:textId="77777777" w:rsidR="00E43FE7" w:rsidRPr="00781C64" w:rsidRDefault="00E43FE7" w:rsidP="00E43FE7">
      <w:pPr>
        <w:spacing w:line="480" w:lineRule="auto"/>
        <w:jc w:val="center"/>
        <w:rPr>
          <w:rFonts w:ascii="Times New Roman" w:hAnsi="Times New Roman" w:cs="Times New Roman"/>
          <w:b/>
          <w:lang w:val="en-GB"/>
        </w:rPr>
      </w:pPr>
    </w:p>
    <w:p w14:paraId="115FAA21" w14:textId="77777777" w:rsidR="00E43FE7" w:rsidRPr="00781C64" w:rsidRDefault="00E43FE7" w:rsidP="00E43FE7">
      <w:pPr>
        <w:spacing w:line="480" w:lineRule="auto"/>
        <w:jc w:val="center"/>
        <w:rPr>
          <w:rFonts w:ascii="Times New Roman" w:hAnsi="Times New Roman" w:cs="Times New Roman"/>
          <w:b/>
          <w:lang w:val="en-GB"/>
        </w:rPr>
      </w:pPr>
    </w:p>
    <w:p w14:paraId="29AF9163" w14:textId="77777777" w:rsidR="00E43FE7" w:rsidRPr="00781C64" w:rsidRDefault="00E43FE7" w:rsidP="00466E14">
      <w:pPr>
        <w:spacing w:line="480" w:lineRule="auto"/>
        <w:ind w:firstLine="0"/>
        <w:rPr>
          <w:rFonts w:ascii="Times New Roman" w:hAnsi="Times New Roman" w:cs="Times New Roman"/>
          <w:b/>
          <w:lang w:val="en-GB"/>
        </w:rPr>
      </w:pPr>
    </w:p>
    <w:p w14:paraId="159079BD" w14:textId="0A5B12CF" w:rsidR="00E43FE7" w:rsidRDefault="00874F85" w:rsidP="00E43FE7">
      <w:pPr>
        <w:spacing w:after="0" w:line="480" w:lineRule="auto"/>
        <w:jc w:val="center"/>
        <w:rPr>
          <w:rFonts w:ascii="Times New Roman" w:hAnsi="Times New Roman" w:cs="Times New Roman"/>
          <w:b/>
          <w:lang w:val="en-GB"/>
        </w:rPr>
      </w:pPr>
      <w:r>
        <w:rPr>
          <w:rFonts w:ascii="Times New Roman" w:hAnsi="Times New Roman" w:cs="Times New Roman"/>
          <w:b/>
          <w:lang w:val="en-GB"/>
        </w:rPr>
        <w:t>Third</w:t>
      </w:r>
      <w:r w:rsidR="00CB3033" w:rsidRPr="00CB3033">
        <w:rPr>
          <w:rFonts w:ascii="Times New Roman" w:hAnsi="Times New Roman" w:cs="Times New Roman"/>
          <w:b/>
          <w:lang w:val="en-GB"/>
        </w:rPr>
        <w:t xml:space="preserve"> </w:t>
      </w:r>
      <w:r w:rsidR="00CB3033">
        <w:rPr>
          <w:rFonts w:ascii="Times New Roman" w:hAnsi="Times New Roman" w:cs="Times New Roman"/>
          <w:b/>
          <w:lang w:val="en-GB"/>
        </w:rPr>
        <w:t>R</w:t>
      </w:r>
      <w:r w:rsidR="00CB3033" w:rsidRPr="00CB3033">
        <w:rPr>
          <w:rFonts w:ascii="Times New Roman" w:hAnsi="Times New Roman" w:cs="Times New Roman"/>
          <w:b/>
          <w:lang w:val="en-GB"/>
        </w:rPr>
        <w:t xml:space="preserve">eflective </w:t>
      </w:r>
      <w:r w:rsidR="00CB3033">
        <w:rPr>
          <w:rFonts w:ascii="Times New Roman" w:hAnsi="Times New Roman" w:cs="Times New Roman"/>
          <w:b/>
          <w:lang w:val="en-GB"/>
        </w:rPr>
        <w:t>J</w:t>
      </w:r>
      <w:r w:rsidR="00CB3033" w:rsidRPr="00CB3033">
        <w:rPr>
          <w:rFonts w:ascii="Times New Roman" w:hAnsi="Times New Roman" w:cs="Times New Roman"/>
          <w:b/>
          <w:lang w:val="en-GB"/>
        </w:rPr>
        <w:t xml:space="preserve">ournal </w:t>
      </w:r>
      <w:r w:rsidR="00CB3033">
        <w:rPr>
          <w:rFonts w:ascii="Times New Roman" w:hAnsi="Times New Roman" w:cs="Times New Roman"/>
          <w:b/>
          <w:lang w:val="en-GB"/>
        </w:rPr>
        <w:t>E</w:t>
      </w:r>
      <w:r w:rsidR="00CB3033" w:rsidRPr="00CB3033">
        <w:rPr>
          <w:rFonts w:ascii="Times New Roman" w:hAnsi="Times New Roman" w:cs="Times New Roman"/>
          <w:b/>
          <w:lang w:val="en-GB"/>
        </w:rPr>
        <w:t>ntry</w:t>
      </w:r>
    </w:p>
    <w:p w14:paraId="2E635E6B" w14:textId="77777777" w:rsidR="00CB3033" w:rsidRDefault="00CB3033" w:rsidP="00E43FE7">
      <w:pPr>
        <w:spacing w:after="0" w:line="480" w:lineRule="auto"/>
        <w:jc w:val="center"/>
        <w:rPr>
          <w:rFonts w:ascii="Times New Roman" w:hAnsi="Times New Roman" w:cs="Times New Roman"/>
          <w:b/>
          <w:lang w:val="en-GB"/>
        </w:rPr>
      </w:pPr>
    </w:p>
    <w:p w14:paraId="3385BCE1" w14:textId="77777777" w:rsidR="00466E14" w:rsidRPr="00781C64" w:rsidRDefault="00466E14" w:rsidP="00E43FE7">
      <w:pPr>
        <w:spacing w:after="0" w:line="480" w:lineRule="auto"/>
        <w:jc w:val="center"/>
        <w:rPr>
          <w:rFonts w:ascii="Times New Roman" w:hAnsi="Times New Roman" w:cs="Times New Roman"/>
          <w:b/>
          <w:lang w:val="en-GB"/>
        </w:rPr>
      </w:pPr>
    </w:p>
    <w:p w14:paraId="629B0553" w14:textId="77777777" w:rsidR="00E43FE7" w:rsidRDefault="00E43FE7" w:rsidP="00E43FE7">
      <w:pPr>
        <w:spacing w:after="0" w:line="480" w:lineRule="auto"/>
        <w:jc w:val="center"/>
        <w:rPr>
          <w:rFonts w:ascii="Times New Roman" w:hAnsi="Times New Roman" w:cs="Times New Roman"/>
          <w:lang w:val="en-GB"/>
        </w:rPr>
      </w:pPr>
      <w:r>
        <w:rPr>
          <w:rFonts w:ascii="Times New Roman" w:hAnsi="Times New Roman" w:cs="Times New Roman"/>
          <w:lang w:val="en-GB"/>
        </w:rPr>
        <w:t>Abdulrahman Albabakri, 025302</w:t>
      </w:r>
    </w:p>
    <w:p w14:paraId="70282DCC" w14:textId="77777777" w:rsidR="00E43FE7" w:rsidRPr="00781C64" w:rsidRDefault="00E43FE7" w:rsidP="00E43FE7">
      <w:pPr>
        <w:spacing w:after="0" w:line="480" w:lineRule="auto"/>
        <w:jc w:val="center"/>
        <w:rPr>
          <w:rFonts w:ascii="Times New Roman" w:hAnsi="Times New Roman" w:cs="Times New Roman"/>
          <w:lang w:val="en-GB"/>
        </w:rPr>
      </w:pPr>
      <w:r w:rsidRPr="00A45058">
        <w:rPr>
          <w:rFonts w:ascii="Times New Roman" w:hAnsi="Times New Roman" w:cs="Times New Roman"/>
          <w:lang w:val="en-GB"/>
        </w:rPr>
        <w:t>Emirates College for Advanced Education</w:t>
      </w:r>
    </w:p>
    <w:p w14:paraId="4E52C8BD" w14:textId="77777777" w:rsidR="00CB3033" w:rsidRDefault="00CB3033" w:rsidP="00E43FE7">
      <w:pPr>
        <w:spacing w:after="0" w:line="480" w:lineRule="auto"/>
        <w:jc w:val="center"/>
        <w:rPr>
          <w:rFonts w:ascii="Times New Roman" w:hAnsi="Times New Roman" w:cs="Times New Roman"/>
          <w:lang w:val="en-GB"/>
        </w:rPr>
      </w:pPr>
      <w:r w:rsidRPr="00CB3033">
        <w:rPr>
          <w:rFonts w:ascii="Times New Roman" w:hAnsi="Times New Roman" w:cs="Times New Roman"/>
          <w:lang w:val="en-GB"/>
        </w:rPr>
        <w:t>2025_TermOne-EDUSPPP1-Secondary Profession-P01</w:t>
      </w:r>
    </w:p>
    <w:p w14:paraId="39CB16F0" w14:textId="48E6AE87" w:rsidR="00E43FE7" w:rsidRDefault="00E43FE7" w:rsidP="00E43FE7">
      <w:pPr>
        <w:spacing w:after="0" w:line="480" w:lineRule="auto"/>
        <w:jc w:val="center"/>
        <w:rPr>
          <w:rFonts w:ascii="Times New Roman" w:hAnsi="Times New Roman" w:cs="Times New Roman"/>
          <w:lang w:val="en-GB"/>
        </w:rPr>
      </w:pPr>
      <w:r w:rsidRPr="00730BCA">
        <w:rPr>
          <w:rFonts w:ascii="Times New Roman" w:hAnsi="Times New Roman" w:cs="Times New Roman"/>
          <w:lang w:val="en-GB"/>
        </w:rPr>
        <w:t xml:space="preserve">Dr. </w:t>
      </w:r>
      <w:r w:rsidR="00CB3033" w:rsidRPr="00CB3033">
        <w:rPr>
          <w:rFonts w:ascii="Times New Roman" w:hAnsi="Times New Roman" w:cs="Times New Roman"/>
          <w:lang w:val="en-GB"/>
        </w:rPr>
        <w:t>Dean Cairns</w:t>
      </w:r>
    </w:p>
    <w:p w14:paraId="3F3BB554" w14:textId="0138067C" w:rsidR="00E43FE7" w:rsidRPr="00781C64" w:rsidRDefault="00E43FE7" w:rsidP="00E43FE7">
      <w:pPr>
        <w:spacing w:after="0" w:line="480" w:lineRule="auto"/>
        <w:jc w:val="center"/>
        <w:rPr>
          <w:rFonts w:ascii="Times New Roman" w:hAnsi="Times New Roman" w:cs="Times New Roman"/>
          <w:lang w:val="en-GB"/>
        </w:rPr>
      </w:pPr>
      <w:r w:rsidRPr="00A45058">
        <w:rPr>
          <w:rFonts w:ascii="Times New Roman" w:hAnsi="Times New Roman" w:cs="Times New Roman"/>
          <w:lang w:val="en-GB"/>
        </w:rPr>
        <w:t>October</w:t>
      </w:r>
      <w:r>
        <w:rPr>
          <w:rFonts w:ascii="Times New Roman" w:hAnsi="Times New Roman" w:cs="Times New Roman"/>
          <w:lang w:val="en-GB"/>
        </w:rPr>
        <w:t xml:space="preserve"> </w:t>
      </w:r>
      <w:r w:rsidR="00BE519C">
        <w:rPr>
          <w:rFonts w:ascii="Times New Roman" w:hAnsi="Times New Roman" w:cs="Times New Roman"/>
          <w:lang w:val="en-GB"/>
        </w:rPr>
        <w:t>26</w:t>
      </w:r>
      <w:r>
        <w:rPr>
          <w:rFonts w:ascii="Times New Roman" w:hAnsi="Times New Roman" w:cs="Times New Roman"/>
          <w:lang w:val="en-GB"/>
        </w:rPr>
        <w:t xml:space="preserve">, </w:t>
      </w:r>
      <w:r w:rsidRPr="00A45058">
        <w:rPr>
          <w:rFonts w:ascii="Times New Roman" w:hAnsi="Times New Roman" w:cs="Times New Roman"/>
          <w:lang w:val="en-GB"/>
        </w:rPr>
        <w:t>2025</w:t>
      </w:r>
    </w:p>
    <w:p w14:paraId="70A81D92" w14:textId="77777777" w:rsidR="00E43FE7" w:rsidRPr="00781C64" w:rsidRDefault="00E43FE7" w:rsidP="00E43FE7">
      <w:pPr>
        <w:spacing w:line="480" w:lineRule="auto"/>
        <w:jc w:val="center"/>
        <w:rPr>
          <w:rFonts w:ascii="Times New Roman" w:hAnsi="Times New Roman" w:cs="Times New Roman"/>
          <w:lang w:val="en-GB"/>
        </w:rPr>
      </w:pPr>
    </w:p>
    <w:p w14:paraId="7C8363DE" w14:textId="77777777" w:rsidR="00E43FE7" w:rsidRPr="00781C64" w:rsidRDefault="00E43FE7" w:rsidP="00E43FE7">
      <w:pPr>
        <w:spacing w:line="480" w:lineRule="auto"/>
        <w:jc w:val="center"/>
        <w:rPr>
          <w:rFonts w:ascii="Times New Roman" w:hAnsi="Times New Roman" w:cs="Times New Roman"/>
          <w:lang w:val="en-GB"/>
        </w:rPr>
      </w:pPr>
    </w:p>
    <w:p w14:paraId="579B4956" w14:textId="77777777" w:rsidR="00E43FE7" w:rsidRPr="00781C64" w:rsidRDefault="00E43FE7" w:rsidP="00E43FE7">
      <w:pPr>
        <w:spacing w:line="480" w:lineRule="auto"/>
        <w:jc w:val="center"/>
        <w:rPr>
          <w:rFonts w:ascii="Times New Roman" w:hAnsi="Times New Roman" w:cs="Times New Roman"/>
          <w:lang w:val="en-GB"/>
        </w:rPr>
      </w:pPr>
    </w:p>
    <w:p w14:paraId="7B5954A9" w14:textId="77777777" w:rsidR="00E43FE7" w:rsidRPr="00781C64" w:rsidRDefault="00E43FE7" w:rsidP="00E43FE7">
      <w:pPr>
        <w:spacing w:line="480" w:lineRule="auto"/>
        <w:jc w:val="center"/>
        <w:rPr>
          <w:rFonts w:ascii="Times New Roman" w:hAnsi="Times New Roman" w:cs="Times New Roman"/>
          <w:lang w:val="en-GB"/>
        </w:rPr>
      </w:pPr>
    </w:p>
    <w:p w14:paraId="2D11D13B" w14:textId="77777777" w:rsidR="00E43FE7" w:rsidRDefault="00E43FE7" w:rsidP="00E43FE7">
      <w:pPr>
        <w:spacing w:line="480" w:lineRule="auto"/>
        <w:jc w:val="center"/>
        <w:rPr>
          <w:rFonts w:ascii="Times New Roman" w:hAnsi="Times New Roman" w:cs="Times New Roman"/>
          <w:lang w:val="en-GB"/>
        </w:rPr>
      </w:pPr>
    </w:p>
    <w:p w14:paraId="1F948566" w14:textId="77777777" w:rsidR="00E43FE7" w:rsidRDefault="00E43FE7" w:rsidP="00E43FE7">
      <w:pPr>
        <w:spacing w:line="480" w:lineRule="auto"/>
        <w:jc w:val="center"/>
        <w:rPr>
          <w:rFonts w:ascii="Times New Roman" w:hAnsi="Times New Roman" w:cs="Times New Roman"/>
          <w:lang w:val="en-GB"/>
        </w:rPr>
      </w:pPr>
    </w:p>
    <w:p w14:paraId="1FCE600A" w14:textId="77777777" w:rsidR="00E43FE7" w:rsidRPr="00781C64" w:rsidRDefault="00E43FE7" w:rsidP="00E43FE7">
      <w:pPr>
        <w:spacing w:line="480" w:lineRule="auto"/>
        <w:jc w:val="center"/>
        <w:rPr>
          <w:rFonts w:ascii="Times New Roman" w:hAnsi="Times New Roman" w:cs="Times New Roman"/>
          <w:lang w:val="en-GB"/>
        </w:rPr>
      </w:pPr>
    </w:p>
    <w:p w14:paraId="4B472C22" w14:textId="77777777" w:rsidR="00E43FE7" w:rsidRDefault="00E43FE7" w:rsidP="00E43FE7">
      <w:pPr>
        <w:spacing w:line="480" w:lineRule="auto"/>
        <w:rPr>
          <w:rFonts w:ascii="Times New Roman" w:hAnsi="Times New Roman" w:cs="Times New Roman"/>
          <w:lang w:val="en-GB"/>
        </w:rPr>
      </w:pPr>
    </w:p>
    <w:p w14:paraId="595D3D0E" w14:textId="77777777" w:rsidR="00466E14" w:rsidRDefault="00466E14" w:rsidP="00E43FE7">
      <w:pPr>
        <w:spacing w:line="480" w:lineRule="auto"/>
        <w:rPr>
          <w:rFonts w:ascii="Times New Roman" w:hAnsi="Times New Roman" w:cs="Times New Roman"/>
          <w:lang w:val="en-GB"/>
        </w:rPr>
      </w:pPr>
    </w:p>
    <w:p w14:paraId="656429CD" w14:textId="77777777" w:rsidR="00E43FE7" w:rsidRPr="00781C64" w:rsidRDefault="00E43FE7" w:rsidP="00E43FE7">
      <w:pPr>
        <w:spacing w:line="480" w:lineRule="auto"/>
        <w:rPr>
          <w:rFonts w:ascii="Times New Roman" w:hAnsi="Times New Roman" w:cs="Times New Roman"/>
          <w:lang w:val="en-GB"/>
        </w:rPr>
      </w:pPr>
    </w:p>
    <w:p w14:paraId="4EC9CBA1" w14:textId="34C02DD2" w:rsidR="00F825FF" w:rsidRPr="00F825FF" w:rsidRDefault="000D700A" w:rsidP="000D700A">
      <w:pPr>
        <w:tabs>
          <w:tab w:val="left" w:pos="540"/>
          <w:tab w:val="center" w:pos="4513"/>
        </w:tabs>
        <w:spacing w:line="480" w:lineRule="auto"/>
        <w:jc w:val="center"/>
        <w:rPr>
          <w:rFonts w:ascii="Times New Roman" w:hAnsi="Times New Roman" w:cs="Times New Roman"/>
          <w:lang w:val="en-GB"/>
        </w:rPr>
      </w:pPr>
      <w:r w:rsidRPr="000D700A">
        <w:rPr>
          <w:rFonts w:ascii="Times New Roman" w:hAnsi="Times New Roman" w:cs="Times New Roman"/>
          <w:b/>
          <w:bCs/>
          <w:kern w:val="0"/>
          <w:lang w:val="en-GB"/>
          <w14:ligatures w14:val="none"/>
        </w:rPr>
        <w:lastRenderedPageBreak/>
        <w:t>Description</w:t>
      </w:r>
    </w:p>
    <w:p w14:paraId="56B75157" w14:textId="0CD52DAA" w:rsidR="00874F85" w:rsidRPr="00874F85" w:rsidRDefault="007716B0" w:rsidP="00874F85">
      <w:pPr>
        <w:spacing w:line="480" w:lineRule="auto"/>
        <w:rPr>
          <w:rFonts w:ascii="Times New Roman" w:hAnsi="Times New Roman" w:cs="Times New Roman"/>
          <w:lang w:val="en-GB"/>
        </w:rPr>
      </w:pPr>
      <w:r w:rsidRPr="007716B0">
        <w:rPr>
          <w:rFonts w:ascii="Times New Roman" w:hAnsi="Times New Roman" w:cs="Times New Roman"/>
          <w:lang w:val="en-GB"/>
        </w:rPr>
        <w:t xml:space="preserve">This reflection will examine experiences from Weeks 8 and 9 of my </w:t>
      </w:r>
      <w:proofErr w:type="gramStart"/>
      <w:r w:rsidRPr="007716B0">
        <w:rPr>
          <w:rFonts w:ascii="Times New Roman" w:hAnsi="Times New Roman" w:cs="Times New Roman"/>
          <w:lang w:val="en-GB"/>
        </w:rPr>
        <w:t>placement</w:t>
      </w:r>
      <w:proofErr w:type="gramEnd"/>
      <w:r w:rsidRPr="007716B0">
        <w:rPr>
          <w:rFonts w:ascii="Times New Roman" w:hAnsi="Times New Roman" w:cs="Times New Roman"/>
          <w:lang w:val="en-GB"/>
        </w:rPr>
        <w:t xml:space="preserve"> in Grade 12 Advanced Biology and will discuss the significant link demonstrated there between assessment, learning, and teaching. For week eight, I helped mentor, Mr. Hatem, in grading the results of a summative task on Mendelian genetics. The findings provided us with pertinent information concerning the marked discrepancy demonstrated by the class’s responses. While they scored satisfactorily on questions testing knowledge recall (around 61% success), their outcomes drastically declined on application (43%) and analysis (18%) questions. Mr. Hatem reacted by developing and teaching a review lesson in Week 9 that was a lesson in responsible pedagogy. He began by presenting the class record openly, introducing the lesson as a group effort to "close the gap" rather than an individual remediation of failure. He then </w:t>
      </w:r>
      <w:proofErr w:type="spellStart"/>
      <w:r w:rsidRPr="007716B0">
        <w:rPr>
          <w:rFonts w:ascii="Times New Roman" w:hAnsi="Times New Roman" w:cs="Times New Roman"/>
          <w:lang w:val="en-GB"/>
        </w:rPr>
        <w:t>modeled</w:t>
      </w:r>
      <w:proofErr w:type="spellEnd"/>
      <w:r w:rsidRPr="007716B0">
        <w:rPr>
          <w:rFonts w:ascii="Times New Roman" w:hAnsi="Times New Roman" w:cs="Times New Roman"/>
          <w:lang w:val="en-GB"/>
        </w:rPr>
        <w:t xml:space="preserve"> correcting a standard error on a dihybrid cross, making the faulty thought process visible before co-constructing the correct solution with a student. The core of the lesson involved students working in pre-assigned, mixed-ability groups to re-solve specific exam questions. During this time, Mr. Hatem circulated, employing targeted, diagnostic questioning to guide students toward self-correction without providing direct answers. The lesson concluded with a brief exit ticket to assess the transfer of learning</w:t>
      </w:r>
      <w:r w:rsidR="00874F85" w:rsidRPr="00874F85">
        <w:rPr>
          <w:rFonts w:ascii="Times New Roman" w:hAnsi="Times New Roman" w:cs="Times New Roman"/>
          <w:lang w:val="en-GB"/>
        </w:rPr>
        <w:t xml:space="preserve">.   </w:t>
      </w:r>
    </w:p>
    <w:p w14:paraId="51B86606" w14:textId="71D64BA3" w:rsidR="00874F85" w:rsidRPr="00874F85" w:rsidRDefault="00921AD4" w:rsidP="00921AD4">
      <w:pPr>
        <w:tabs>
          <w:tab w:val="left" w:pos="540"/>
          <w:tab w:val="center" w:pos="4513"/>
        </w:tabs>
        <w:spacing w:line="480" w:lineRule="auto"/>
        <w:jc w:val="center"/>
        <w:rPr>
          <w:rFonts w:ascii="Times New Roman" w:hAnsi="Times New Roman" w:cs="Times New Roman"/>
          <w:lang w:val="en-GB"/>
        </w:rPr>
      </w:pPr>
      <w:r w:rsidRPr="00921AD4">
        <w:rPr>
          <w:rFonts w:ascii="Times New Roman" w:hAnsi="Times New Roman" w:cs="Times New Roman"/>
          <w:b/>
          <w:bCs/>
          <w:kern w:val="0"/>
          <w:lang w:val="en-GB"/>
          <w14:ligatures w14:val="none"/>
        </w:rPr>
        <w:t>Evaluation</w:t>
      </w:r>
    </w:p>
    <w:p w14:paraId="7C910F4C" w14:textId="77777777" w:rsidR="007716B0" w:rsidRDefault="007716B0" w:rsidP="00921AD4">
      <w:pPr>
        <w:tabs>
          <w:tab w:val="left" w:pos="540"/>
          <w:tab w:val="left" w:pos="1365"/>
          <w:tab w:val="center" w:pos="4513"/>
          <w:tab w:val="center" w:pos="4873"/>
        </w:tabs>
        <w:spacing w:line="480" w:lineRule="auto"/>
        <w:rPr>
          <w:rFonts w:ascii="Times New Roman" w:hAnsi="Times New Roman" w:cs="Times New Roman"/>
          <w:lang w:val="en-GB"/>
        </w:rPr>
      </w:pPr>
      <w:r w:rsidRPr="007716B0">
        <w:rPr>
          <w:rFonts w:ascii="Times New Roman" w:hAnsi="Times New Roman" w:cs="Times New Roman"/>
          <w:lang w:val="en-GB"/>
        </w:rPr>
        <w:t xml:space="preserve">The lesson was highly effective. The classroom environment was upbeat and on-task, with students looking "truly engaged" and "interested in how to repair their understanding." The strategic move from a formally instructional review lesson into a problem-solving session effectively turned what could have been a demoralizing lesson into an extremely fruitful one. The effectiveness of the lesson was rigorously supported by the data from the exit ticket, which indicated that a staggering 73% of the class could now successfully </w:t>
      </w:r>
      <w:r w:rsidRPr="007716B0">
        <w:rPr>
          <w:rFonts w:ascii="Times New Roman" w:hAnsi="Times New Roman" w:cs="Times New Roman"/>
          <w:lang w:val="en-GB"/>
        </w:rPr>
        <w:lastRenderedPageBreak/>
        <w:t>complete an application-level problem of this type, vastly improving upon the data from the pre-lesson task. The primary challenge was time management; the deep, dialogic nature of the lesson meant that not all problematic questions could be fully addressed within the period, necessitating a follow-up in the next class. Overall, however, the lesson demonstrated how to turn assessment data into meaningful student learning.</w:t>
      </w:r>
    </w:p>
    <w:p w14:paraId="613500E4" w14:textId="1DE1DABC" w:rsidR="00874F85" w:rsidRPr="00874F85" w:rsidRDefault="00921AD4" w:rsidP="00921AD4">
      <w:pPr>
        <w:tabs>
          <w:tab w:val="left" w:pos="540"/>
          <w:tab w:val="left" w:pos="1365"/>
          <w:tab w:val="center" w:pos="4513"/>
          <w:tab w:val="center" w:pos="4873"/>
        </w:tabs>
        <w:spacing w:line="480" w:lineRule="auto"/>
        <w:rPr>
          <w:rFonts w:ascii="Times New Roman" w:hAnsi="Times New Roman" w:cs="Times New Roman"/>
          <w:lang w:val="en-GB"/>
        </w:rPr>
      </w:pPr>
      <w:r>
        <w:rPr>
          <w:rFonts w:ascii="Times New Roman" w:hAnsi="Times New Roman" w:cs="Times New Roman"/>
          <w:b/>
          <w:bCs/>
          <w:kern w:val="0"/>
          <w:lang w:val="en-GB"/>
          <w14:ligatures w14:val="none"/>
        </w:rPr>
        <w:tab/>
      </w:r>
      <w:r>
        <w:rPr>
          <w:rFonts w:ascii="Times New Roman" w:hAnsi="Times New Roman" w:cs="Times New Roman"/>
          <w:b/>
          <w:bCs/>
          <w:kern w:val="0"/>
          <w:lang w:val="en-GB"/>
          <w14:ligatures w14:val="none"/>
        </w:rPr>
        <w:tab/>
      </w:r>
      <w:r w:rsidRPr="00921AD4">
        <w:rPr>
          <w:rFonts w:ascii="Times New Roman" w:hAnsi="Times New Roman" w:cs="Times New Roman"/>
          <w:b/>
          <w:bCs/>
          <w:kern w:val="0"/>
          <w:lang w:val="en-GB"/>
          <w14:ligatures w14:val="none"/>
        </w:rPr>
        <w:t>Analysis</w:t>
      </w:r>
    </w:p>
    <w:p w14:paraId="75B9B916" w14:textId="268F90CB" w:rsidR="007716B0" w:rsidRPr="007716B0" w:rsidRDefault="007716B0" w:rsidP="007716B0">
      <w:pPr>
        <w:spacing w:line="480" w:lineRule="auto"/>
        <w:rPr>
          <w:rFonts w:ascii="Times New Roman" w:hAnsi="Times New Roman" w:cs="Times New Roman"/>
          <w:lang w:val="en-GB"/>
        </w:rPr>
      </w:pPr>
      <w:r w:rsidRPr="007716B0">
        <w:rPr>
          <w:rFonts w:ascii="Times New Roman" w:hAnsi="Times New Roman" w:cs="Times New Roman"/>
          <w:lang w:val="en-GB"/>
        </w:rPr>
        <w:t xml:space="preserve">The effectiveness of this lesson can be understood through several key theoretical frameworks. Fundamentally, it exemplified the symbiotic relationship between summative and formative assessment. Mr. Hatem </w:t>
      </w:r>
      <w:proofErr w:type="spellStart"/>
      <w:r w:rsidRPr="007716B0">
        <w:rPr>
          <w:rFonts w:ascii="Times New Roman" w:hAnsi="Times New Roman" w:cs="Times New Roman"/>
          <w:lang w:val="en-GB"/>
        </w:rPr>
        <w:t>skillfully</w:t>
      </w:r>
      <w:proofErr w:type="spellEnd"/>
      <w:r w:rsidRPr="007716B0">
        <w:rPr>
          <w:rFonts w:ascii="Times New Roman" w:hAnsi="Times New Roman" w:cs="Times New Roman"/>
          <w:lang w:val="en-GB"/>
        </w:rPr>
        <w:t xml:space="preserve"> repurposed the summative evidence from the test to initiate a deeply formative process, perfectly aligning with the principle that assessment evidence can be re-interpreted to serve different purposes (Dolin et al., 2018). The entire lesson was a live enactment of the formative assessment cycle: evidence was used to identify where students were, a clear goal was set for where they needed to go, and the instruction provided a clear pathway to get there (Dolin et al., 2018).   </w:t>
      </w:r>
    </w:p>
    <w:p w14:paraId="6F6A046D" w14:textId="6CB27211" w:rsidR="007716B0" w:rsidRPr="007716B0" w:rsidRDefault="007716B0" w:rsidP="007716B0">
      <w:pPr>
        <w:spacing w:line="480" w:lineRule="auto"/>
        <w:rPr>
          <w:rFonts w:ascii="Times New Roman" w:hAnsi="Times New Roman" w:cs="Times New Roman"/>
          <w:lang w:val="en-GB"/>
        </w:rPr>
      </w:pPr>
      <w:r w:rsidRPr="007716B0">
        <w:rPr>
          <w:rFonts w:ascii="Times New Roman" w:hAnsi="Times New Roman" w:cs="Times New Roman"/>
          <w:lang w:val="en-GB"/>
        </w:rPr>
        <w:t>Self-Determination Theory can also account for the motivational impact of this lesson. The design of this lesson established a "need-supportive" environment that supported autonomy motivation (</w:t>
      </w:r>
      <w:proofErr w:type="spellStart"/>
      <w:r w:rsidRPr="007716B0">
        <w:rPr>
          <w:rFonts w:ascii="Times New Roman" w:hAnsi="Times New Roman" w:cs="Times New Roman"/>
          <w:lang w:val="en-GB"/>
        </w:rPr>
        <w:t>Leenknecht</w:t>
      </w:r>
      <w:proofErr w:type="spellEnd"/>
      <w:r w:rsidRPr="007716B0">
        <w:rPr>
          <w:rFonts w:ascii="Times New Roman" w:hAnsi="Times New Roman" w:cs="Times New Roman"/>
          <w:lang w:val="en-GB"/>
        </w:rPr>
        <w:t xml:space="preserve"> et al., 2021). The students' need for competence was supported by emphasizing growth, which resulted in their observable success on the exit ticket. The students' need for relatedness was supported by the group work, which cast them as a community of learners. Finally, their need for autonomy was supported by giving each group ownership of a "key question," fostering a sense of agency (</w:t>
      </w:r>
      <w:proofErr w:type="spellStart"/>
      <w:r w:rsidRPr="007716B0">
        <w:rPr>
          <w:rFonts w:ascii="Times New Roman" w:hAnsi="Times New Roman" w:cs="Times New Roman"/>
          <w:lang w:val="en-GB"/>
        </w:rPr>
        <w:t>Leenknecht</w:t>
      </w:r>
      <w:proofErr w:type="spellEnd"/>
      <w:r w:rsidRPr="007716B0">
        <w:rPr>
          <w:rFonts w:ascii="Times New Roman" w:hAnsi="Times New Roman" w:cs="Times New Roman"/>
          <w:lang w:val="en-GB"/>
        </w:rPr>
        <w:t xml:space="preserve"> et al., 2021).   </w:t>
      </w:r>
    </w:p>
    <w:p w14:paraId="72996B99" w14:textId="21B136C9" w:rsidR="00874F85" w:rsidRPr="00874F85" w:rsidRDefault="007716B0" w:rsidP="007716B0">
      <w:pPr>
        <w:spacing w:line="480" w:lineRule="auto"/>
        <w:rPr>
          <w:rFonts w:ascii="Times New Roman" w:hAnsi="Times New Roman" w:cs="Times New Roman"/>
          <w:lang w:val="en-GB"/>
        </w:rPr>
      </w:pPr>
      <w:r w:rsidRPr="007716B0">
        <w:rPr>
          <w:rFonts w:ascii="Times New Roman" w:hAnsi="Times New Roman" w:cs="Times New Roman"/>
          <w:lang w:val="en-GB"/>
        </w:rPr>
        <w:t xml:space="preserve">Instructionally, Mr. Hatem's approach </w:t>
      </w:r>
      <w:proofErr w:type="spellStart"/>
      <w:r w:rsidRPr="007716B0">
        <w:rPr>
          <w:rFonts w:ascii="Times New Roman" w:hAnsi="Times New Roman" w:cs="Times New Roman"/>
          <w:lang w:val="en-GB"/>
        </w:rPr>
        <w:t>centered</w:t>
      </w:r>
      <w:proofErr w:type="spellEnd"/>
      <w:r w:rsidRPr="007716B0">
        <w:rPr>
          <w:rFonts w:ascii="Times New Roman" w:hAnsi="Times New Roman" w:cs="Times New Roman"/>
          <w:lang w:val="en-GB"/>
        </w:rPr>
        <w:t xml:space="preserve"> on making thinking visible. By </w:t>
      </w:r>
      <w:proofErr w:type="spellStart"/>
      <w:r w:rsidRPr="007716B0">
        <w:rPr>
          <w:rFonts w:ascii="Times New Roman" w:hAnsi="Times New Roman" w:cs="Times New Roman"/>
          <w:lang w:val="en-GB"/>
        </w:rPr>
        <w:t>modeling</w:t>
      </w:r>
      <w:proofErr w:type="spellEnd"/>
      <w:r w:rsidRPr="007716B0">
        <w:rPr>
          <w:rFonts w:ascii="Times New Roman" w:hAnsi="Times New Roman" w:cs="Times New Roman"/>
          <w:lang w:val="en-GB"/>
        </w:rPr>
        <w:t xml:space="preserve"> the correction of a standard error, he shifted the focus from the "product" (the correct answer) to the "process" of sound scientific reasoning, a strategy shown to improve </w:t>
      </w:r>
      <w:r w:rsidRPr="007716B0">
        <w:rPr>
          <w:rFonts w:ascii="Times New Roman" w:hAnsi="Times New Roman" w:cs="Times New Roman"/>
          <w:lang w:val="en-GB"/>
        </w:rPr>
        <w:lastRenderedPageBreak/>
        <w:t xml:space="preserve">student achievement significantly (Clarke, 2021). His use of diagnostic questioning during group work was a prime example of "assessment on-the-fly".  The questioning sequence he used to guide a student to discover her logical flaw perfectly illustrates the Elicit-Student </w:t>
      </w:r>
      <w:proofErr w:type="gramStart"/>
      <w:r w:rsidRPr="007716B0">
        <w:rPr>
          <w:rFonts w:ascii="Times New Roman" w:hAnsi="Times New Roman" w:cs="Times New Roman"/>
          <w:lang w:val="en-GB"/>
        </w:rPr>
        <w:t>responds</w:t>
      </w:r>
      <w:proofErr w:type="gramEnd"/>
      <w:r w:rsidRPr="007716B0">
        <w:rPr>
          <w:rFonts w:ascii="Times New Roman" w:hAnsi="Times New Roman" w:cs="Times New Roman"/>
          <w:lang w:val="en-GB"/>
        </w:rPr>
        <w:t>-Recognize-Use (ESRU) cycle, a hallmark of practical, interactive formative assessment (Harrison et al., 2018). Finally, framing the lesson around "Learning from Our Mistakes" created a psychologically safe environment. This use of error analysis is a powerful tool that encourages a growth mindset, reduces anxiety, and enhances metacognition by treating errors not as failures, but as crucial data points for learning (</w:t>
      </w:r>
      <w:proofErr w:type="spellStart"/>
      <w:r w:rsidRPr="007716B0">
        <w:rPr>
          <w:rFonts w:ascii="Times New Roman" w:hAnsi="Times New Roman" w:cs="Times New Roman"/>
          <w:lang w:val="en-GB"/>
        </w:rPr>
        <w:t>Leenknecht</w:t>
      </w:r>
      <w:proofErr w:type="spellEnd"/>
      <w:r w:rsidRPr="007716B0">
        <w:rPr>
          <w:rFonts w:ascii="Times New Roman" w:hAnsi="Times New Roman" w:cs="Times New Roman"/>
          <w:lang w:val="en-GB"/>
        </w:rPr>
        <w:t xml:space="preserve"> et al., 2021)</w:t>
      </w:r>
      <w:r w:rsidR="00921AD4" w:rsidRPr="00921AD4">
        <w:rPr>
          <w:rFonts w:ascii="Times New Roman" w:hAnsi="Times New Roman" w:cs="Times New Roman"/>
          <w:lang w:val="en-GB"/>
        </w:rPr>
        <w:t xml:space="preserve">. </w:t>
      </w:r>
      <w:r w:rsidR="00874F85" w:rsidRPr="00874F85">
        <w:rPr>
          <w:rFonts w:ascii="Times New Roman" w:hAnsi="Times New Roman" w:cs="Times New Roman"/>
          <w:lang w:val="en-GB"/>
        </w:rPr>
        <w:t xml:space="preserve">   </w:t>
      </w:r>
    </w:p>
    <w:p w14:paraId="02C1B004" w14:textId="39670E05" w:rsidR="00874F85" w:rsidRPr="00874F85" w:rsidRDefault="00921AD4" w:rsidP="00921AD4">
      <w:pPr>
        <w:tabs>
          <w:tab w:val="left" w:pos="540"/>
          <w:tab w:val="left" w:pos="1365"/>
          <w:tab w:val="center" w:pos="4513"/>
          <w:tab w:val="center" w:pos="4873"/>
        </w:tabs>
        <w:spacing w:line="480" w:lineRule="auto"/>
        <w:jc w:val="center"/>
        <w:rPr>
          <w:rFonts w:ascii="Times New Roman" w:hAnsi="Times New Roman" w:cs="Times New Roman"/>
          <w:lang w:val="en-GB"/>
        </w:rPr>
      </w:pPr>
      <w:r w:rsidRPr="00921AD4">
        <w:rPr>
          <w:rFonts w:ascii="Times New Roman" w:hAnsi="Times New Roman" w:cs="Times New Roman"/>
          <w:b/>
          <w:bCs/>
          <w:kern w:val="0"/>
          <w:lang w:val="en-GB"/>
          <w14:ligatures w14:val="none"/>
        </w:rPr>
        <w:t>Conclusion</w:t>
      </w:r>
    </w:p>
    <w:p w14:paraId="4180FC25" w14:textId="575CB250" w:rsidR="00921AD4" w:rsidRDefault="007716B0" w:rsidP="00874F85">
      <w:pPr>
        <w:spacing w:line="480" w:lineRule="auto"/>
        <w:rPr>
          <w:rFonts w:ascii="Times New Roman" w:hAnsi="Times New Roman" w:cs="Times New Roman"/>
          <w:lang w:val="en-GB"/>
        </w:rPr>
      </w:pPr>
      <w:r w:rsidRPr="007716B0">
        <w:rPr>
          <w:rFonts w:ascii="Times New Roman" w:hAnsi="Times New Roman" w:cs="Times New Roman"/>
          <w:lang w:val="en-GB"/>
        </w:rPr>
        <w:t>This two-week experience gave me a profound insight: good teaching is an adaptive cycle of action and diagnosis. I learned that summative data is not an endpoint but a powerful place to begin diagnosis. The best learning occurred when student errors were not merely corrected but seized upon as the central focus of instruction. I will adopt several of these practices in the future. First, I will look more intensely at assessment data to identify specific areas of knowledge gaps, not overall score. Second, I will intentionally design review lessons that normalize and study common student errors, creating a learning atmosphere in which mistakes are seen as opportunities. Third, I will practice using probing, diagnostic questions that make student thinking transparent, causing them to construct their own understanding rather than having mine simply explained. I have learned that teaching is an art that involves using evidence in closing the gap between where the students are and where they need to be.</w:t>
      </w:r>
    </w:p>
    <w:p w14:paraId="6851720E" w14:textId="77777777" w:rsidR="007716B0" w:rsidRDefault="007716B0" w:rsidP="00874F85">
      <w:pPr>
        <w:spacing w:line="480" w:lineRule="auto"/>
        <w:rPr>
          <w:rFonts w:ascii="Times New Roman" w:hAnsi="Times New Roman" w:cs="Times New Roman"/>
          <w:lang w:val="en-GB"/>
        </w:rPr>
      </w:pPr>
    </w:p>
    <w:p w14:paraId="439A68BD" w14:textId="77777777" w:rsidR="007716B0" w:rsidRDefault="007716B0" w:rsidP="00874F85">
      <w:pPr>
        <w:spacing w:line="480" w:lineRule="auto"/>
        <w:rPr>
          <w:rFonts w:ascii="Times New Roman" w:hAnsi="Times New Roman" w:cs="Times New Roman"/>
          <w:lang w:val="en-GB"/>
        </w:rPr>
      </w:pPr>
    </w:p>
    <w:p w14:paraId="49692249" w14:textId="77777777" w:rsidR="00921AD4" w:rsidRPr="00874F85" w:rsidRDefault="00921AD4" w:rsidP="00B736FD">
      <w:pPr>
        <w:spacing w:line="480" w:lineRule="auto"/>
        <w:ind w:firstLine="0"/>
        <w:rPr>
          <w:rFonts w:ascii="Times New Roman" w:hAnsi="Times New Roman" w:cs="Times New Roman"/>
          <w:lang w:val="en-GB"/>
        </w:rPr>
      </w:pPr>
    </w:p>
    <w:p w14:paraId="5E0AD316" w14:textId="4ADA3E74" w:rsidR="007716B0" w:rsidRPr="007716B0" w:rsidRDefault="00874F85" w:rsidP="007716B0">
      <w:pPr>
        <w:tabs>
          <w:tab w:val="left" w:pos="540"/>
          <w:tab w:val="left" w:pos="1365"/>
          <w:tab w:val="center" w:pos="4513"/>
          <w:tab w:val="center" w:pos="4873"/>
        </w:tabs>
        <w:spacing w:line="480" w:lineRule="auto"/>
        <w:jc w:val="center"/>
        <w:rPr>
          <w:rFonts w:ascii="Times New Roman" w:hAnsi="Times New Roman" w:cs="Times New Roman"/>
          <w:lang w:val="en-GB"/>
        </w:rPr>
      </w:pPr>
      <w:r w:rsidRPr="00921AD4">
        <w:rPr>
          <w:rFonts w:ascii="Times New Roman" w:hAnsi="Times New Roman" w:cs="Times New Roman"/>
          <w:b/>
          <w:bCs/>
          <w:kern w:val="0"/>
          <w:lang w:val="en-GB"/>
          <w14:ligatures w14:val="none"/>
        </w:rPr>
        <w:lastRenderedPageBreak/>
        <w:t>References</w:t>
      </w:r>
    </w:p>
    <w:p w14:paraId="1F4E8BF3" w14:textId="319AC8A6" w:rsidR="007716B0" w:rsidRPr="007716B0" w:rsidRDefault="007716B0" w:rsidP="007716B0">
      <w:pPr>
        <w:spacing w:line="480" w:lineRule="auto"/>
        <w:ind w:left="720" w:hanging="720"/>
        <w:rPr>
          <w:rFonts w:ascii="Times New Roman" w:hAnsi="Times New Roman" w:cs="Times New Roman"/>
          <w:kern w:val="0"/>
          <w:lang w:val="en-GB"/>
          <w14:ligatures w14:val="none"/>
        </w:rPr>
      </w:pPr>
      <w:r w:rsidRPr="007716B0">
        <w:rPr>
          <w:rFonts w:ascii="Times New Roman" w:hAnsi="Times New Roman" w:cs="Times New Roman"/>
          <w:kern w:val="0"/>
          <w:lang w:val="en-GB"/>
          <w14:ligatures w14:val="none"/>
        </w:rPr>
        <w:t xml:space="preserve">Clarke, S. (2021). </w:t>
      </w:r>
      <w:r w:rsidRPr="007716B0">
        <w:rPr>
          <w:rFonts w:ascii="Times New Roman" w:hAnsi="Times New Roman" w:cs="Times New Roman"/>
          <w:i/>
          <w:iCs/>
          <w:kern w:val="0"/>
          <w:lang w:val="en-GB"/>
          <w14:ligatures w14:val="none"/>
        </w:rPr>
        <w:t>Unlocking learning intentions and success criteria: Shifting from product to process across the disciplines</w:t>
      </w:r>
      <w:r w:rsidRPr="007716B0">
        <w:rPr>
          <w:rFonts w:ascii="Times New Roman" w:hAnsi="Times New Roman" w:cs="Times New Roman"/>
          <w:kern w:val="0"/>
          <w:lang w:val="en-GB"/>
          <w14:ligatures w14:val="none"/>
        </w:rPr>
        <w:t>. Corwin Press.</w:t>
      </w:r>
    </w:p>
    <w:p w14:paraId="11117651" w14:textId="16DA2C17" w:rsidR="007716B0" w:rsidRPr="007716B0" w:rsidRDefault="007716B0" w:rsidP="007716B0">
      <w:pPr>
        <w:spacing w:line="480" w:lineRule="auto"/>
        <w:ind w:left="720" w:hanging="720"/>
        <w:rPr>
          <w:rFonts w:ascii="Times New Roman" w:hAnsi="Times New Roman" w:cs="Times New Roman"/>
          <w:kern w:val="0"/>
          <w:lang w:val="en-GB"/>
          <w14:ligatures w14:val="none"/>
        </w:rPr>
      </w:pPr>
      <w:r w:rsidRPr="007716B0">
        <w:rPr>
          <w:rFonts w:ascii="Times New Roman" w:hAnsi="Times New Roman" w:cs="Times New Roman"/>
          <w:kern w:val="0"/>
          <w:lang w:val="en-GB"/>
          <w14:ligatures w14:val="none"/>
        </w:rPr>
        <w:t xml:space="preserve">Dolin, J., Black, P., Harlen, W., &amp; </w:t>
      </w:r>
      <w:proofErr w:type="spellStart"/>
      <w:r w:rsidRPr="007716B0">
        <w:rPr>
          <w:rFonts w:ascii="Times New Roman" w:hAnsi="Times New Roman" w:cs="Times New Roman"/>
          <w:kern w:val="0"/>
          <w:lang w:val="en-GB"/>
          <w14:ligatures w14:val="none"/>
        </w:rPr>
        <w:t>Tiberghien</w:t>
      </w:r>
      <w:proofErr w:type="spellEnd"/>
      <w:r w:rsidRPr="007716B0">
        <w:rPr>
          <w:rFonts w:ascii="Times New Roman" w:hAnsi="Times New Roman" w:cs="Times New Roman"/>
          <w:kern w:val="0"/>
          <w:lang w:val="en-GB"/>
          <w14:ligatures w14:val="none"/>
        </w:rPr>
        <w:t xml:space="preserve">, A. (2018). Exploring relations between formative and summative assessment. In J. Dolin &amp; R. Evans (Eds.), </w:t>
      </w:r>
      <w:r w:rsidRPr="007716B0">
        <w:rPr>
          <w:rFonts w:ascii="Times New Roman" w:hAnsi="Times New Roman" w:cs="Times New Roman"/>
          <w:i/>
          <w:iCs/>
          <w:kern w:val="0"/>
          <w:lang w:val="en-GB"/>
          <w14:ligatures w14:val="none"/>
        </w:rPr>
        <w:t>Transforming assessment: Through an interplay between practice, research and policy</w:t>
      </w:r>
      <w:r w:rsidRPr="007716B0">
        <w:rPr>
          <w:rFonts w:ascii="Times New Roman" w:hAnsi="Times New Roman" w:cs="Times New Roman"/>
          <w:kern w:val="0"/>
          <w:lang w:val="en-GB"/>
          <w14:ligatures w14:val="none"/>
        </w:rPr>
        <w:t xml:space="preserve"> (pp. 53-80). Springer.</w:t>
      </w:r>
    </w:p>
    <w:p w14:paraId="7925C411" w14:textId="635033A5" w:rsidR="007716B0" w:rsidRPr="007716B0" w:rsidRDefault="007716B0" w:rsidP="007716B0">
      <w:pPr>
        <w:spacing w:line="480" w:lineRule="auto"/>
        <w:ind w:left="720" w:hanging="720"/>
        <w:rPr>
          <w:rFonts w:ascii="Times New Roman" w:hAnsi="Times New Roman" w:cs="Times New Roman"/>
          <w:kern w:val="0"/>
          <w:lang w:val="en-GB"/>
          <w14:ligatures w14:val="none"/>
        </w:rPr>
      </w:pPr>
      <w:r w:rsidRPr="007716B0">
        <w:rPr>
          <w:rFonts w:ascii="Times New Roman" w:hAnsi="Times New Roman" w:cs="Times New Roman"/>
          <w:kern w:val="0"/>
          <w:lang w:val="en-GB"/>
          <w14:ligatures w14:val="none"/>
        </w:rPr>
        <w:t xml:space="preserve">Harrison, C., Constantinou, C. P., Correia, C. F., </w:t>
      </w:r>
      <w:proofErr w:type="spellStart"/>
      <w:r w:rsidRPr="007716B0">
        <w:rPr>
          <w:rFonts w:ascii="Times New Roman" w:hAnsi="Times New Roman" w:cs="Times New Roman"/>
          <w:kern w:val="0"/>
          <w:lang w:val="en-GB"/>
          <w14:ligatures w14:val="none"/>
        </w:rPr>
        <w:t>Grangeat</w:t>
      </w:r>
      <w:proofErr w:type="spellEnd"/>
      <w:r w:rsidRPr="007716B0">
        <w:rPr>
          <w:rFonts w:ascii="Times New Roman" w:hAnsi="Times New Roman" w:cs="Times New Roman"/>
          <w:kern w:val="0"/>
          <w:lang w:val="en-GB"/>
          <w14:ligatures w14:val="none"/>
        </w:rPr>
        <w:t xml:space="preserve">, M., </w:t>
      </w:r>
      <w:proofErr w:type="spellStart"/>
      <w:r w:rsidRPr="007716B0">
        <w:rPr>
          <w:rFonts w:ascii="Times New Roman" w:hAnsi="Times New Roman" w:cs="Times New Roman"/>
          <w:kern w:val="0"/>
          <w:lang w:val="en-GB"/>
          <w14:ligatures w14:val="none"/>
        </w:rPr>
        <w:t>Hähkiöniemi</w:t>
      </w:r>
      <w:proofErr w:type="spellEnd"/>
      <w:r w:rsidRPr="007716B0">
        <w:rPr>
          <w:rFonts w:ascii="Times New Roman" w:hAnsi="Times New Roman" w:cs="Times New Roman"/>
          <w:kern w:val="0"/>
          <w:lang w:val="en-GB"/>
          <w14:ligatures w14:val="none"/>
        </w:rPr>
        <w:t xml:space="preserve">, M., </w:t>
      </w:r>
      <w:proofErr w:type="spellStart"/>
      <w:r w:rsidRPr="007716B0">
        <w:rPr>
          <w:rFonts w:ascii="Times New Roman" w:hAnsi="Times New Roman" w:cs="Times New Roman"/>
          <w:kern w:val="0"/>
          <w:lang w:val="en-GB"/>
          <w14:ligatures w14:val="none"/>
        </w:rPr>
        <w:t>Livitzis</w:t>
      </w:r>
      <w:proofErr w:type="spellEnd"/>
      <w:r w:rsidRPr="007716B0">
        <w:rPr>
          <w:rFonts w:ascii="Times New Roman" w:hAnsi="Times New Roman" w:cs="Times New Roman"/>
          <w:kern w:val="0"/>
          <w:lang w:val="en-GB"/>
          <w14:ligatures w14:val="none"/>
        </w:rPr>
        <w:t xml:space="preserve">, M., Nieminen, P., </w:t>
      </w:r>
      <w:proofErr w:type="spellStart"/>
      <w:r w:rsidRPr="007716B0">
        <w:rPr>
          <w:rFonts w:ascii="Times New Roman" w:hAnsi="Times New Roman" w:cs="Times New Roman"/>
          <w:kern w:val="0"/>
          <w:lang w:val="en-GB"/>
          <w14:ligatures w14:val="none"/>
        </w:rPr>
        <w:t>Papadouris</w:t>
      </w:r>
      <w:proofErr w:type="spellEnd"/>
      <w:r w:rsidRPr="007716B0">
        <w:rPr>
          <w:rFonts w:ascii="Times New Roman" w:hAnsi="Times New Roman" w:cs="Times New Roman"/>
          <w:kern w:val="0"/>
          <w:lang w:val="en-GB"/>
          <w14:ligatures w14:val="none"/>
        </w:rPr>
        <w:t xml:space="preserve">, N., Rached, E., Serret, N., </w:t>
      </w:r>
      <w:proofErr w:type="spellStart"/>
      <w:r w:rsidRPr="007716B0">
        <w:rPr>
          <w:rFonts w:ascii="Times New Roman" w:hAnsi="Times New Roman" w:cs="Times New Roman"/>
          <w:kern w:val="0"/>
          <w:lang w:val="en-GB"/>
          <w14:ligatures w14:val="none"/>
        </w:rPr>
        <w:t>Tiberghien</w:t>
      </w:r>
      <w:proofErr w:type="spellEnd"/>
      <w:r w:rsidRPr="007716B0">
        <w:rPr>
          <w:rFonts w:ascii="Times New Roman" w:hAnsi="Times New Roman" w:cs="Times New Roman"/>
          <w:kern w:val="0"/>
          <w:lang w:val="en-GB"/>
          <w14:ligatures w14:val="none"/>
        </w:rPr>
        <w:t xml:space="preserve">, A., &amp; </w:t>
      </w:r>
      <w:proofErr w:type="spellStart"/>
      <w:r w:rsidRPr="007716B0">
        <w:rPr>
          <w:rFonts w:ascii="Times New Roman" w:hAnsi="Times New Roman" w:cs="Times New Roman"/>
          <w:kern w:val="0"/>
          <w:lang w:val="en-GB"/>
          <w14:ligatures w14:val="none"/>
        </w:rPr>
        <w:t>Viiri</w:t>
      </w:r>
      <w:proofErr w:type="spellEnd"/>
      <w:r w:rsidRPr="007716B0">
        <w:rPr>
          <w:rFonts w:ascii="Times New Roman" w:hAnsi="Times New Roman" w:cs="Times New Roman"/>
          <w:kern w:val="0"/>
          <w:lang w:val="en-GB"/>
          <w14:ligatures w14:val="none"/>
        </w:rPr>
        <w:t xml:space="preserve">, J. (2018). Assessment on-the-fly: Promoting and collecting evidence of learning through dialogue. In J. Dolin &amp; R. Evans (Eds.), </w:t>
      </w:r>
      <w:r w:rsidRPr="007716B0">
        <w:rPr>
          <w:rFonts w:ascii="Times New Roman" w:hAnsi="Times New Roman" w:cs="Times New Roman"/>
          <w:i/>
          <w:iCs/>
          <w:kern w:val="0"/>
          <w:lang w:val="en-GB"/>
          <w14:ligatures w14:val="none"/>
        </w:rPr>
        <w:t>Transforming assessment: Through an interplay between practice, research and policy</w:t>
      </w:r>
      <w:r w:rsidRPr="007716B0">
        <w:rPr>
          <w:rFonts w:ascii="Times New Roman" w:hAnsi="Times New Roman" w:cs="Times New Roman"/>
          <w:kern w:val="0"/>
          <w:lang w:val="en-GB"/>
          <w14:ligatures w14:val="none"/>
        </w:rPr>
        <w:t xml:space="preserve"> (pp. 83-107). Springer.</w:t>
      </w:r>
    </w:p>
    <w:p w14:paraId="16647DD7" w14:textId="0512D579" w:rsidR="007716B0" w:rsidRPr="00921AD4" w:rsidRDefault="007716B0" w:rsidP="007716B0">
      <w:pPr>
        <w:spacing w:line="480" w:lineRule="auto"/>
        <w:ind w:left="720" w:hanging="720"/>
        <w:rPr>
          <w:rFonts w:ascii="Times New Roman" w:hAnsi="Times New Roman" w:cs="Times New Roman"/>
          <w:kern w:val="0"/>
          <w:lang w:val="en-GB"/>
          <w14:ligatures w14:val="none"/>
        </w:rPr>
      </w:pPr>
      <w:proofErr w:type="spellStart"/>
      <w:r w:rsidRPr="007716B0">
        <w:rPr>
          <w:rFonts w:ascii="Times New Roman" w:hAnsi="Times New Roman" w:cs="Times New Roman"/>
          <w:kern w:val="0"/>
          <w:lang w:val="en-GB"/>
          <w14:ligatures w14:val="none"/>
        </w:rPr>
        <w:t>Leenknecht</w:t>
      </w:r>
      <w:proofErr w:type="spellEnd"/>
      <w:r w:rsidRPr="007716B0">
        <w:rPr>
          <w:rFonts w:ascii="Times New Roman" w:hAnsi="Times New Roman" w:cs="Times New Roman"/>
          <w:kern w:val="0"/>
          <w:lang w:val="en-GB"/>
          <w14:ligatures w14:val="none"/>
        </w:rPr>
        <w:t xml:space="preserve">, M., Wijnia, L., </w:t>
      </w:r>
      <w:proofErr w:type="spellStart"/>
      <w:r w:rsidRPr="007716B0">
        <w:rPr>
          <w:rFonts w:ascii="Times New Roman" w:hAnsi="Times New Roman" w:cs="Times New Roman"/>
          <w:kern w:val="0"/>
          <w:lang w:val="en-GB"/>
          <w14:ligatures w14:val="none"/>
        </w:rPr>
        <w:t>Köhlen</w:t>
      </w:r>
      <w:proofErr w:type="spellEnd"/>
      <w:r w:rsidRPr="007716B0">
        <w:rPr>
          <w:rFonts w:ascii="Times New Roman" w:hAnsi="Times New Roman" w:cs="Times New Roman"/>
          <w:kern w:val="0"/>
          <w:lang w:val="en-GB"/>
          <w14:ligatures w14:val="none"/>
        </w:rPr>
        <w:t xml:space="preserve">, M., Fryer, L., Rikers, R., &amp; </w:t>
      </w:r>
      <w:proofErr w:type="spellStart"/>
      <w:r w:rsidRPr="007716B0">
        <w:rPr>
          <w:rFonts w:ascii="Times New Roman" w:hAnsi="Times New Roman" w:cs="Times New Roman"/>
          <w:kern w:val="0"/>
          <w:lang w:val="en-GB"/>
          <w14:ligatures w14:val="none"/>
        </w:rPr>
        <w:t>Loyens</w:t>
      </w:r>
      <w:proofErr w:type="spellEnd"/>
      <w:r w:rsidRPr="007716B0">
        <w:rPr>
          <w:rFonts w:ascii="Times New Roman" w:hAnsi="Times New Roman" w:cs="Times New Roman"/>
          <w:kern w:val="0"/>
          <w:lang w:val="en-GB"/>
          <w14:ligatures w14:val="none"/>
        </w:rPr>
        <w:t xml:space="preserve">, S. (2021). Formative assessment as practice: The role of students’ motivation. </w:t>
      </w:r>
      <w:r w:rsidRPr="007716B0">
        <w:rPr>
          <w:rFonts w:ascii="Times New Roman" w:hAnsi="Times New Roman" w:cs="Times New Roman"/>
          <w:i/>
          <w:iCs/>
          <w:kern w:val="0"/>
          <w:lang w:val="en-GB"/>
          <w14:ligatures w14:val="none"/>
        </w:rPr>
        <w:t>Assessment &amp; Evaluation in Higher Education, 46</w:t>
      </w:r>
      <w:r w:rsidRPr="007716B0">
        <w:rPr>
          <w:rFonts w:ascii="Times New Roman" w:hAnsi="Times New Roman" w:cs="Times New Roman"/>
          <w:kern w:val="0"/>
          <w:lang w:val="en-GB"/>
          <w14:ligatures w14:val="none"/>
        </w:rPr>
        <w:t>(2), 236-255.</w:t>
      </w:r>
      <w:r>
        <w:rPr>
          <w:rFonts w:ascii="Times New Roman" w:hAnsi="Times New Roman" w:cs="Times New Roman"/>
          <w:kern w:val="0"/>
          <w:lang w:val="en-GB"/>
          <w14:ligatures w14:val="none"/>
        </w:rPr>
        <w:t xml:space="preserve"> </w:t>
      </w:r>
      <w:hyperlink r:id="rId4" w:history="1">
        <w:r w:rsidRPr="002F2288">
          <w:rPr>
            <w:rStyle w:val="Hyperlink"/>
            <w:rFonts w:ascii="Times New Roman" w:hAnsi="Times New Roman" w:cs="Times New Roman"/>
            <w:kern w:val="0"/>
            <w14:ligatures w14:val="none"/>
          </w:rPr>
          <w:t>https://doi.org/10.1080/02602938.2020.1765228</w:t>
        </w:r>
      </w:hyperlink>
    </w:p>
    <w:p w14:paraId="0A6D7D9E" w14:textId="52D8801A" w:rsidR="00466E14" w:rsidRPr="00466E14" w:rsidRDefault="00466E14" w:rsidP="00466E14">
      <w:pPr>
        <w:spacing w:line="480" w:lineRule="auto"/>
        <w:rPr>
          <w:rFonts w:ascii="Times New Roman" w:hAnsi="Times New Roman" w:cs="Times New Roman"/>
          <w:lang w:val="en-GB"/>
        </w:rPr>
      </w:pPr>
      <w:r w:rsidRPr="00466E14">
        <w:rPr>
          <w:rFonts w:ascii="Times New Roman" w:hAnsi="Times New Roman" w:cs="Times New Roman"/>
          <w:lang w:val="en-GB"/>
        </w:rPr>
        <w:t>.</w:t>
      </w:r>
    </w:p>
    <w:p w14:paraId="33A67A7A" w14:textId="46B50667" w:rsidR="00AE3C80" w:rsidRPr="00E43FE7" w:rsidRDefault="00AE3C80" w:rsidP="000D700A">
      <w:pPr>
        <w:spacing w:line="480" w:lineRule="auto"/>
        <w:ind w:left="720" w:hanging="720"/>
        <w:rPr>
          <w:rFonts w:ascii="Times New Roman" w:hAnsi="Times New Roman" w:cs="Times New Roman"/>
          <w:kern w:val="0"/>
          <w:lang w:val="en-GB"/>
          <w14:ligatures w14:val="none"/>
        </w:rPr>
      </w:pPr>
    </w:p>
    <w:sectPr w:rsidR="00AE3C80" w:rsidRPr="00E43FE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FE7"/>
    <w:rsid w:val="000D700A"/>
    <w:rsid w:val="0011040A"/>
    <w:rsid w:val="0028550E"/>
    <w:rsid w:val="00380019"/>
    <w:rsid w:val="00394552"/>
    <w:rsid w:val="003D4703"/>
    <w:rsid w:val="00463DBA"/>
    <w:rsid w:val="00466E14"/>
    <w:rsid w:val="007716B0"/>
    <w:rsid w:val="00783517"/>
    <w:rsid w:val="00816D5B"/>
    <w:rsid w:val="00874F85"/>
    <w:rsid w:val="0091054D"/>
    <w:rsid w:val="00921AD4"/>
    <w:rsid w:val="009425E0"/>
    <w:rsid w:val="009D40EA"/>
    <w:rsid w:val="00A3013B"/>
    <w:rsid w:val="00AE3C80"/>
    <w:rsid w:val="00B736FD"/>
    <w:rsid w:val="00BE519C"/>
    <w:rsid w:val="00CB3033"/>
    <w:rsid w:val="00E43FE7"/>
    <w:rsid w:val="00F825FF"/>
  </w:rsids>
  <m:mathPr>
    <m:mathFont m:val="Cambria Math"/>
    <m:brkBin m:val="before"/>
    <m:brkBinSub m:val="--"/>
    <m:smallFrac m:val="0"/>
    <m:dispDef/>
    <m:lMargin m:val="0"/>
    <m:rMargin m:val="0"/>
    <m:defJc m:val="centerGroup"/>
    <m:wrapIndent m:val="1440"/>
    <m:intLim m:val="subSup"/>
    <m:naryLim m:val="undOvr"/>
  </m:mathPr>
  <w:themeFontLang w:val="en-AE"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61B680"/>
  <w15:chartTrackingRefBased/>
  <w15:docId w15:val="{94BBB2C5-209A-4935-980C-62777A074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700A"/>
    <w:pPr>
      <w:ind w:firstLine="720"/>
    </w:pPr>
  </w:style>
  <w:style w:type="paragraph" w:styleId="Heading1">
    <w:name w:val="heading 1"/>
    <w:basedOn w:val="Normal"/>
    <w:next w:val="Normal"/>
    <w:link w:val="Heading1Char"/>
    <w:uiPriority w:val="9"/>
    <w:qFormat/>
    <w:rsid w:val="00E43FE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43FE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43FE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43FE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43FE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43FE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3FE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3FE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3FE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3FE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43FE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43FE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43FE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43FE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43F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3F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3F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3FE7"/>
    <w:rPr>
      <w:rFonts w:eastAsiaTheme="majorEastAsia" w:cstheme="majorBidi"/>
      <w:color w:val="272727" w:themeColor="text1" w:themeTint="D8"/>
    </w:rPr>
  </w:style>
  <w:style w:type="paragraph" w:styleId="Title">
    <w:name w:val="Title"/>
    <w:basedOn w:val="Normal"/>
    <w:next w:val="Normal"/>
    <w:link w:val="TitleChar"/>
    <w:uiPriority w:val="10"/>
    <w:qFormat/>
    <w:rsid w:val="00E43F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3F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3FE7"/>
    <w:pPr>
      <w:numPr>
        <w:ilvl w:val="1"/>
      </w:numPr>
      <w:ind w:firstLine="72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3F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3FE7"/>
    <w:pPr>
      <w:spacing w:before="160"/>
      <w:jc w:val="center"/>
    </w:pPr>
    <w:rPr>
      <w:i/>
      <w:iCs/>
      <w:color w:val="404040" w:themeColor="text1" w:themeTint="BF"/>
    </w:rPr>
  </w:style>
  <w:style w:type="character" w:customStyle="1" w:styleId="QuoteChar">
    <w:name w:val="Quote Char"/>
    <w:basedOn w:val="DefaultParagraphFont"/>
    <w:link w:val="Quote"/>
    <w:uiPriority w:val="29"/>
    <w:rsid w:val="00E43FE7"/>
    <w:rPr>
      <w:i/>
      <w:iCs/>
      <w:color w:val="404040" w:themeColor="text1" w:themeTint="BF"/>
    </w:rPr>
  </w:style>
  <w:style w:type="paragraph" w:styleId="ListParagraph">
    <w:name w:val="List Paragraph"/>
    <w:basedOn w:val="Normal"/>
    <w:uiPriority w:val="34"/>
    <w:qFormat/>
    <w:rsid w:val="00E43FE7"/>
    <w:pPr>
      <w:ind w:left="720"/>
      <w:contextualSpacing/>
    </w:pPr>
  </w:style>
  <w:style w:type="character" w:styleId="IntenseEmphasis">
    <w:name w:val="Intense Emphasis"/>
    <w:basedOn w:val="DefaultParagraphFont"/>
    <w:uiPriority w:val="21"/>
    <w:qFormat/>
    <w:rsid w:val="00E43FE7"/>
    <w:rPr>
      <w:i/>
      <w:iCs/>
      <w:color w:val="0F4761" w:themeColor="accent1" w:themeShade="BF"/>
    </w:rPr>
  </w:style>
  <w:style w:type="paragraph" w:styleId="IntenseQuote">
    <w:name w:val="Intense Quote"/>
    <w:basedOn w:val="Normal"/>
    <w:next w:val="Normal"/>
    <w:link w:val="IntenseQuoteChar"/>
    <w:uiPriority w:val="30"/>
    <w:qFormat/>
    <w:rsid w:val="00E43F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43FE7"/>
    <w:rPr>
      <w:i/>
      <w:iCs/>
      <w:color w:val="0F4761" w:themeColor="accent1" w:themeShade="BF"/>
    </w:rPr>
  </w:style>
  <w:style w:type="character" w:styleId="IntenseReference">
    <w:name w:val="Intense Reference"/>
    <w:basedOn w:val="DefaultParagraphFont"/>
    <w:uiPriority w:val="32"/>
    <w:qFormat/>
    <w:rsid w:val="00E43FE7"/>
    <w:rPr>
      <w:b/>
      <w:bCs/>
      <w:smallCaps/>
      <w:color w:val="0F4761" w:themeColor="accent1" w:themeShade="BF"/>
      <w:spacing w:val="5"/>
    </w:rPr>
  </w:style>
  <w:style w:type="character" w:styleId="Hyperlink">
    <w:name w:val="Hyperlink"/>
    <w:basedOn w:val="DefaultParagraphFont"/>
    <w:uiPriority w:val="99"/>
    <w:unhideWhenUsed/>
    <w:rsid w:val="007716B0"/>
    <w:rPr>
      <w:color w:val="467886" w:themeColor="hyperlink"/>
      <w:u w:val="single"/>
    </w:rPr>
  </w:style>
  <w:style w:type="character" w:styleId="UnresolvedMention">
    <w:name w:val="Unresolved Mention"/>
    <w:basedOn w:val="DefaultParagraphFont"/>
    <w:uiPriority w:val="99"/>
    <w:semiHidden/>
    <w:unhideWhenUsed/>
    <w:rsid w:val="007716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doi.org/10.1080/02602938.2020.176522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fe1c5235-23fc-43dc-a60e-9ba5e777df86}" enabled="1" method="Standard" siteId="{226a070b-e0bb-4475-89ef-9ff30d6a35b3}" contentBits="0" removed="0"/>
</clbl:labelList>
</file>

<file path=docProps/app.xml><?xml version="1.0" encoding="utf-8"?>
<Properties xmlns="http://schemas.openxmlformats.org/officeDocument/2006/extended-properties" xmlns:vt="http://schemas.openxmlformats.org/officeDocument/2006/docPropsVTypes">
  <Template>Normal</Template>
  <TotalTime>35</TotalTime>
  <Pages>5</Pages>
  <Words>1023</Words>
  <Characters>5981</Characters>
  <Application>Microsoft Office Word</Application>
  <DocSecurity>0</DocSecurity>
  <Lines>111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Abdulrahman Mudheb Saleh Albabakri</dc:creator>
  <cp:keywords/>
  <dc:description/>
  <cp:lastModifiedBy>Abdulrahman Mudheb Saleh Al Babakri (Miral Experiences)</cp:lastModifiedBy>
  <cp:revision>4</cp:revision>
  <dcterms:created xsi:type="dcterms:W3CDTF">2025-10-26T18:10:00Z</dcterms:created>
  <dcterms:modified xsi:type="dcterms:W3CDTF">2025-10-26T19:12:00Z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48709cb0-bcaf-42f4-801d-d961176992c2</vt:lpwstr>
  </property>
  <property fmtid="{D5CDD505-2E9C-101B-9397-08002B2CF9AE}" pid="3" name="MSIP_Label_fe1c5235-23fc-43dc-a60e-9ba5e777df86_Enabled">
    <vt:lpwstr>true</vt:lpwstr>
  </property>
  <property fmtid="{D5CDD505-2E9C-101B-9397-08002B2CF9AE}" pid="4" name="MSIP_Label_fe1c5235-23fc-43dc-a60e-9ba5e777df86_SetDate">
    <vt:lpwstr>2025-10-02T17:58:22Z</vt:lpwstr>
  </property>
  <property fmtid="{D5CDD505-2E9C-101B-9397-08002B2CF9AE}" pid="5" name="MSIP_Label_fe1c5235-23fc-43dc-a60e-9ba5e777df86_Method">
    <vt:lpwstr>Standard</vt:lpwstr>
  </property>
  <property fmtid="{D5CDD505-2E9C-101B-9397-08002B2CF9AE}" pid="6" name="MSIP_Label_fe1c5235-23fc-43dc-a60e-9ba5e777df86_Name">
    <vt:lpwstr>defa4170-0d19-0005-0004-bc88714345d2</vt:lpwstr>
  </property>
  <property fmtid="{D5CDD505-2E9C-101B-9397-08002B2CF9AE}" pid="7" name="MSIP_Label_fe1c5235-23fc-43dc-a60e-9ba5e777df86_SiteId">
    <vt:lpwstr>226a070b-e0bb-4475-89ef-9ff30d6a35b3</vt:lpwstr>
  </property>
  <property fmtid="{D5CDD505-2E9C-101B-9397-08002B2CF9AE}" pid="8" name="MSIP_Label_fe1c5235-23fc-43dc-a60e-9ba5e777df86_ActionId">
    <vt:lpwstr>2cc04a71-6c41-4f4a-8153-c18e82125a7e</vt:lpwstr>
  </property>
  <property fmtid="{D5CDD505-2E9C-101B-9397-08002B2CF9AE}" pid="9" name="MSIP_Label_fe1c5235-23fc-43dc-a60e-9ba5e777df86_ContentBits">
    <vt:lpwstr>0</vt:lpwstr>
  </property>
  <property fmtid="{D5CDD505-2E9C-101B-9397-08002B2CF9AE}" pid="10" name="MSIP_Label_fe1c5235-23fc-43dc-a60e-9ba5e777df86_Tag">
    <vt:lpwstr>10, 3, 0, 1</vt:lpwstr>
  </property>
</Properties>
</file>