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A0AE6" w14:textId="77777777" w:rsidR="00E43FE7" w:rsidRPr="00781C64" w:rsidRDefault="00E43FE7" w:rsidP="00E43FE7">
      <w:pPr>
        <w:spacing w:line="480" w:lineRule="auto"/>
        <w:jc w:val="center"/>
        <w:rPr>
          <w:rFonts w:ascii="Times New Roman" w:hAnsi="Times New Roman" w:cs="Times New Roman"/>
          <w:b/>
          <w:lang w:val="en-GB"/>
        </w:rPr>
      </w:pPr>
    </w:p>
    <w:p w14:paraId="5070C5C3" w14:textId="77777777" w:rsidR="00E43FE7" w:rsidRPr="00781C64" w:rsidRDefault="00E43FE7" w:rsidP="00E43FE7">
      <w:pPr>
        <w:spacing w:line="480" w:lineRule="auto"/>
        <w:jc w:val="center"/>
        <w:rPr>
          <w:rFonts w:ascii="Times New Roman" w:hAnsi="Times New Roman" w:cs="Times New Roman"/>
          <w:b/>
          <w:lang w:val="en-GB"/>
        </w:rPr>
      </w:pPr>
    </w:p>
    <w:p w14:paraId="115FAA21" w14:textId="77777777" w:rsidR="00E43FE7" w:rsidRPr="00781C64" w:rsidRDefault="00E43FE7" w:rsidP="00E43FE7">
      <w:pPr>
        <w:spacing w:line="480" w:lineRule="auto"/>
        <w:jc w:val="center"/>
        <w:rPr>
          <w:rFonts w:ascii="Times New Roman" w:hAnsi="Times New Roman" w:cs="Times New Roman"/>
          <w:b/>
          <w:lang w:val="en-GB"/>
        </w:rPr>
      </w:pPr>
    </w:p>
    <w:p w14:paraId="29AF9163" w14:textId="77777777" w:rsidR="00E43FE7" w:rsidRPr="00781C64" w:rsidRDefault="00E43FE7" w:rsidP="00466E14">
      <w:pPr>
        <w:spacing w:line="480" w:lineRule="auto"/>
        <w:ind w:firstLine="0"/>
        <w:rPr>
          <w:rFonts w:ascii="Times New Roman" w:hAnsi="Times New Roman" w:cs="Times New Roman"/>
          <w:b/>
          <w:lang w:val="en-GB"/>
        </w:rPr>
      </w:pPr>
    </w:p>
    <w:p w14:paraId="159079BD" w14:textId="24652770" w:rsidR="00E43FE7" w:rsidRDefault="000D700A" w:rsidP="00E43FE7">
      <w:pPr>
        <w:spacing w:after="0" w:line="480" w:lineRule="auto"/>
        <w:jc w:val="center"/>
        <w:rPr>
          <w:rFonts w:ascii="Times New Roman" w:hAnsi="Times New Roman" w:cs="Times New Roman"/>
          <w:b/>
          <w:lang w:val="en-GB"/>
        </w:rPr>
      </w:pPr>
      <w:r>
        <w:rPr>
          <w:rFonts w:ascii="Times New Roman" w:hAnsi="Times New Roman" w:cs="Times New Roman"/>
          <w:b/>
          <w:lang w:val="en-GB"/>
        </w:rPr>
        <w:t>Second</w:t>
      </w:r>
      <w:r w:rsidR="00CB3033" w:rsidRPr="00CB3033">
        <w:rPr>
          <w:rFonts w:ascii="Times New Roman" w:hAnsi="Times New Roman" w:cs="Times New Roman"/>
          <w:b/>
          <w:lang w:val="en-GB"/>
        </w:rPr>
        <w:t xml:space="preserve"> </w:t>
      </w:r>
      <w:r w:rsidR="00CB3033">
        <w:rPr>
          <w:rFonts w:ascii="Times New Roman" w:hAnsi="Times New Roman" w:cs="Times New Roman"/>
          <w:b/>
          <w:lang w:val="en-GB"/>
        </w:rPr>
        <w:t>R</w:t>
      </w:r>
      <w:r w:rsidR="00CB3033" w:rsidRPr="00CB3033">
        <w:rPr>
          <w:rFonts w:ascii="Times New Roman" w:hAnsi="Times New Roman" w:cs="Times New Roman"/>
          <w:b/>
          <w:lang w:val="en-GB"/>
        </w:rPr>
        <w:t xml:space="preserve">eflective </w:t>
      </w:r>
      <w:r w:rsidR="00CB3033">
        <w:rPr>
          <w:rFonts w:ascii="Times New Roman" w:hAnsi="Times New Roman" w:cs="Times New Roman"/>
          <w:b/>
          <w:lang w:val="en-GB"/>
        </w:rPr>
        <w:t>J</w:t>
      </w:r>
      <w:r w:rsidR="00CB3033" w:rsidRPr="00CB3033">
        <w:rPr>
          <w:rFonts w:ascii="Times New Roman" w:hAnsi="Times New Roman" w:cs="Times New Roman"/>
          <w:b/>
          <w:lang w:val="en-GB"/>
        </w:rPr>
        <w:t xml:space="preserve">ournal </w:t>
      </w:r>
      <w:r w:rsidR="00CB3033">
        <w:rPr>
          <w:rFonts w:ascii="Times New Roman" w:hAnsi="Times New Roman" w:cs="Times New Roman"/>
          <w:b/>
          <w:lang w:val="en-GB"/>
        </w:rPr>
        <w:t>E</w:t>
      </w:r>
      <w:r w:rsidR="00CB3033" w:rsidRPr="00CB3033">
        <w:rPr>
          <w:rFonts w:ascii="Times New Roman" w:hAnsi="Times New Roman" w:cs="Times New Roman"/>
          <w:b/>
          <w:lang w:val="en-GB"/>
        </w:rPr>
        <w:t>ntry</w:t>
      </w:r>
    </w:p>
    <w:p w14:paraId="2E635E6B" w14:textId="77777777" w:rsidR="00CB3033" w:rsidRDefault="00CB3033" w:rsidP="00E43FE7">
      <w:pPr>
        <w:spacing w:after="0" w:line="480" w:lineRule="auto"/>
        <w:jc w:val="center"/>
        <w:rPr>
          <w:rFonts w:ascii="Times New Roman" w:hAnsi="Times New Roman" w:cs="Times New Roman"/>
          <w:b/>
          <w:lang w:val="en-GB"/>
        </w:rPr>
      </w:pPr>
    </w:p>
    <w:p w14:paraId="3385BCE1" w14:textId="77777777" w:rsidR="00466E14" w:rsidRPr="00781C64" w:rsidRDefault="00466E14" w:rsidP="00E43FE7">
      <w:pPr>
        <w:spacing w:after="0" w:line="480" w:lineRule="auto"/>
        <w:jc w:val="center"/>
        <w:rPr>
          <w:rFonts w:ascii="Times New Roman" w:hAnsi="Times New Roman" w:cs="Times New Roman"/>
          <w:b/>
          <w:lang w:val="en-GB"/>
        </w:rPr>
      </w:pPr>
    </w:p>
    <w:p w14:paraId="629B0553" w14:textId="77777777" w:rsidR="00E43FE7" w:rsidRDefault="00E43FE7" w:rsidP="00E43FE7">
      <w:pPr>
        <w:spacing w:after="0" w:line="480" w:lineRule="auto"/>
        <w:jc w:val="center"/>
        <w:rPr>
          <w:rFonts w:ascii="Times New Roman" w:hAnsi="Times New Roman" w:cs="Times New Roman"/>
          <w:lang w:val="en-GB"/>
        </w:rPr>
      </w:pPr>
      <w:r>
        <w:rPr>
          <w:rFonts w:ascii="Times New Roman" w:hAnsi="Times New Roman" w:cs="Times New Roman"/>
          <w:lang w:val="en-GB"/>
        </w:rPr>
        <w:t>Abdulrahman Albabakri, 025302</w:t>
      </w:r>
    </w:p>
    <w:p w14:paraId="70282DCC" w14:textId="77777777" w:rsidR="00E43FE7" w:rsidRPr="00781C64" w:rsidRDefault="00E43FE7" w:rsidP="00E43FE7">
      <w:pPr>
        <w:spacing w:after="0" w:line="480" w:lineRule="auto"/>
        <w:jc w:val="center"/>
        <w:rPr>
          <w:rFonts w:ascii="Times New Roman" w:hAnsi="Times New Roman" w:cs="Times New Roman"/>
          <w:lang w:val="en-GB"/>
        </w:rPr>
      </w:pPr>
      <w:r w:rsidRPr="00A45058">
        <w:rPr>
          <w:rFonts w:ascii="Times New Roman" w:hAnsi="Times New Roman" w:cs="Times New Roman"/>
          <w:lang w:val="en-GB"/>
        </w:rPr>
        <w:t>Emirates College for Advanced Education</w:t>
      </w:r>
    </w:p>
    <w:p w14:paraId="4E52C8BD" w14:textId="77777777" w:rsidR="00CB3033" w:rsidRDefault="00CB3033" w:rsidP="00E43FE7">
      <w:pPr>
        <w:spacing w:after="0" w:line="480" w:lineRule="auto"/>
        <w:jc w:val="center"/>
        <w:rPr>
          <w:rFonts w:ascii="Times New Roman" w:hAnsi="Times New Roman" w:cs="Times New Roman"/>
          <w:lang w:val="en-GB"/>
        </w:rPr>
      </w:pPr>
      <w:r w:rsidRPr="00CB3033">
        <w:rPr>
          <w:rFonts w:ascii="Times New Roman" w:hAnsi="Times New Roman" w:cs="Times New Roman"/>
          <w:lang w:val="en-GB"/>
        </w:rPr>
        <w:t>2025_TermOne-EDUSPPP1-Secondary Profession-P01</w:t>
      </w:r>
    </w:p>
    <w:p w14:paraId="39CB16F0" w14:textId="48E6AE87" w:rsidR="00E43FE7" w:rsidRDefault="00E43FE7" w:rsidP="00E43FE7">
      <w:pPr>
        <w:spacing w:after="0" w:line="480" w:lineRule="auto"/>
        <w:jc w:val="center"/>
        <w:rPr>
          <w:rFonts w:ascii="Times New Roman" w:hAnsi="Times New Roman" w:cs="Times New Roman"/>
          <w:lang w:val="en-GB"/>
        </w:rPr>
      </w:pPr>
      <w:r w:rsidRPr="00730BCA">
        <w:rPr>
          <w:rFonts w:ascii="Times New Roman" w:hAnsi="Times New Roman" w:cs="Times New Roman"/>
          <w:lang w:val="en-GB"/>
        </w:rPr>
        <w:t xml:space="preserve">Dr. </w:t>
      </w:r>
      <w:r w:rsidR="00CB3033" w:rsidRPr="00CB3033">
        <w:rPr>
          <w:rFonts w:ascii="Times New Roman" w:hAnsi="Times New Roman" w:cs="Times New Roman"/>
          <w:lang w:val="en-GB"/>
        </w:rPr>
        <w:t>Dean Cairns</w:t>
      </w:r>
    </w:p>
    <w:p w14:paraId="3F3BB554" w14:textId="0808D37C" w:rsidR="00E43FE7" w:rsidRPr="00781C64" w:rsidRDefault="00E43FE7" w:rsidP="00E43FE7">
      <w:pPr>
        <w:spacing w:after="0" w:line="480" w:lineRule="auto"/>
        <w:jc w:val="center"/>
        <w:rPr>
          <w:rFonts w:ascii="Times New Roman" w:hAnsi="Times New Roman" w:cs="Times New Roman"/>
          <w:lang w:val="en-GB"/>
        </w:rPr>
      </w:pPr>
      <w:r w:rsidRPr="00A45058">
        <w:rPr>
          <w:rFonts w:ascii="Times New Roman" w:hAnsi="Times New Roman" w:cs="Times New Roman"/>
          <w:lang w:val="en-GB"/>
        </w:rPr>
        <w:t>October</w:t>
      </w:r>
      <w:r>
        <w:rPr>
          <w:rFonts w:ascii="Times New Roman" w:hAnsi="Times New Roman" w:cs="Times New Roman"/>
          <w:lang w:val="en-GB"/>
        </w:rPr>
        <w:t xml:space="preserve"> </w:t>
      </w:r>
      <w:r w:rsidR="000D700A">
        <w:rPr>
          <w:rFonts w:ascii="Times New Roman" w:hAnsi="Times New Roman" w:cs="Times New Roman"/>
          <w:lang w:val="en-GB"/>
        </w:rPr>
        <w:t>19</w:t>
      </w:r>
      <w:r>
        <w:rPr>
          <w:rFonts w:ascii="Times New Roman" w:hAnsi="Times New Roman" w:cs="Times New Roman"/>
          <w:lang w:val="en-GB"/>
        </w:rPr>
        <w:t xml:space="preserve">, </w:t>
      </w:r>
      <w:r w:rsidRPr="00A45058">
        <w:rPr>
          <w:rFonts w:ascii="Times New Roman" w:hAnsi="Times New Roman" w:cs="Times New Roman"/>
          <w:lang w:val="en-GB"/>
        </w:rPr>
        <w:t>2025</w:t>
      </w:r>
    </w:p>
    <w:p w14:paraId="70A81D92" w14:textId="77777777" w:rsidR="00E43FE7" w:rsidRPr="00781C64" w:rsidRDefault="00E43FE7" w:rsidP="00E43FE7">
      <w:pPr>
        <w:spacing w:line="480" w:lineRule="auto"/>
        <w:jc w:val="center"/>
        <w:rPr>
          <w:rFonts w:ascii="Times New Roman" w:hAnsi="Times New Roman" w:cs="Times New Roman"/>
          <w:lang w:val="en-GB"/>
        </w:rPr>
      </w:pPr>
    </w:p>
    <w:p w14:paraId="7C8363DE" w14:textId="77777777" w:rsidR="00E43FE7" w:rsidRPr="00781C64" w:rsidRDefault="00E43FE7" w:rsidP="00E43FE7">
      <w:pPr>
        <w:spacing w:line="480" w:lineRule="auto"/>
        <w:jc w:val="center"/>
        <w:rPr>
          <w:rFonts w:ascii="Times New Roman" w:hAnsi="Times New Roman" w:cs="Times New Roman"/>
          <w:lang w:val="en-GB"/>
        </w:rPr>
      </w:pPr>
    </w:p>
    <w:p w14:paraId="579B4956" w14:textId="77777777" w:rsidR="00E43FE7" w:rsidRPr="00781C64" w:rsidRDefault="00E43FE7" w:rsidP="00E43FE7">
      <w:pPr>
        <w:spacing w:line="480" w:lineRule="auto"/>
        <w:jc w:val="center"/>
        <w:rPr>
          <w:rFonts w:ascii="Times New Roman" w:hAnsi="Times New Roman" w:cs="Times New Roman"/>
          <w:lang w:val="en-GB"/>
        </w:rPr>
      </w:pPr>
    </w:p>
    <w:p w14:paraId="7B5954A9" w14:textId="77777777" w:rsidR="00E43FE7" w:rsidRPr="00781C64" w:rsidRDefault="00E43FE7" w:rsidP="00E43FE7">
      <w:pPr>
        <w:spacing w:line="480" w:lineRule="auto"/>
        <w:jc w:val="center"/>
        <w:rPr>
          <w:rFonts w:ascii="Times New Roman" w:hAnsi="Times New Roman" w:cs="Times New Roman"/>
          <w:lang w:val="en-GB"/>
        </w:rPr>
      </w:pPr>
    </w:p>
    <w:p w14:paraId="2D11D13B" w14:textId="77777777" w:rsidR="00E43FE7" w:rsidRDefault="00E43FE7" w:rsidP="00E43FE7">
      <w:pPr>
        <w:spacing w:line="480" w:lineRule="auto"/>
        <w:jc w:val="center"/>
        <w:rPr>
          <w:rFonts w:ascii="Times New Roman" w:hAnsi="Times New Roman" w:cs="Times New Roman"/>
          <w:lang w:val="en-GB"/>
        </w:rPr>
      </w:pPr>
    </w:p>
    <w:p w14:paraId="1F948566" w14:textId="77777777" w:rsidR="00E43FE7" w:rsidRDefault="00E43FE7" w:rsidP="00E43FE7">
      <w:pPr>
        <w:spacing w:line="480" w:lineRule="auto"/>
        <w:jc w:val="center"/>
        <w:rPr>
          <w:rFonts w:ascii="Times New Roman" w:hAnsi="Times New Roman" w:cs="Times New Roman"/>
          <w:lang w:val="en-GB"/>
        </w:rPr>
      </w:pPr>
    </w:p>
    <w:p w14:paraId="1FCE600A" w14:textId="77777777" w:rsidR="00E43FE7" w:rsidRPr="00781C64" w:rsidRDefault="00E43FE7" w:rsidP="00E43FE7">
      <w:pPr>
        <w:spacing w:line="480" w:lineRule="auto"/>
        <w:jc w:val="center"/>
        <w:rPr>
          <w:rFonts w:ascii="Times New Roman" w:hAnsi="Times New Roman" w:cs="Times New Roman"/>
          <w:lang w:val="en-GB"/>
        </w:rPr>
      </w:pPr>
    </w:p>
    <w:p w14:paraId="4B472C22" w14:textId="77777777" w:rsidR="00E43FE7" w:rsidRDefault="00E43FE7" w:rsidP="00E43FE7">
      <w:pPr>
        <w:spacing w:line="480" w:lineRule="auto"/>
        <w:rPr>
          <w:rFonts w:ascii="Times New Roman" w:hAnsi="Times New Roman" w:cs="Times New Roman"/>
          <w:lang w:val="en-GB"/>
        </w:rPr>
      </w:pPr>
    </w:p>
    <w:p w14:paraId="595D3D0E" w14:textId="77777777" w:rsidR="00466E14" w:rsidRDefault="00466E14" w:rsidP="00E43FE7">
      <w:pPr>
        <w:spacing w:line="480" w:lineRule="auto"/>
        <w:rPr>
          <w:rFonts w:ascii="Times New Roman" w:hAnsi="Times New Roman" w:cs="Times New Roman"/>
          <w:lang w:val="en-GB"/>
        </w:rPr>
      </w:pPr>
    </w:p>
    <w:p w14:paraId="656429CD" w14:textId="77777777" w:rsidR="00E43FE7" w:rsidRPr="00781C64" w:rsidRDefault="00E43FE7" w:rsidP="00E43FE7">
      <w:pPr>
        <w:spacing w:line="480" w:lineRule="auto"/>
        <w:rPr>
          <w:rFonts w:ascii="Times New Roman" w:hAnsi="Times New Roman" w:cs="Times New Roman"/>
          <w:lang w:val="en-GB"/>
        </w:rPr>
      </w:pPr>
    </w:p>
    <w:p w14:paraId="4EC9CBA1" w14:textId="34C02DD2" w:rsidR="00F825FF" w:rsidRPr="00F825FF" w:rsidRDefault="000D700A" w:rsidP="000D700A">
      <w:pPr>
        <w:tabs>
          <w:tab w:val="left" w:pos="540"/>
          <w:tab w:val="center" w:pos="4513"/>
        </w:tabs>
        <w:spacing w:line="480" w:lineRule="auto"/>
        <w:jc w:val="center"/>
        <w:rPr>
          <w:rFonts w:ascii="Times New Roman" w:hAnsi="Times New Roman" w:cs="Times New Roman"/>
          <w:lang w:val="en-GB"/>
        </w:rPr>
      </w:pPr>
      <w:r w:rsidRPr="000D700A">
        <w:rPr>
          <w:rFonts w:ascii="Times New Roman" w:hAnsi="Times New Roman" w:cs="Times New Roman"/>
          <w:b/>
          <w:bCs/>
          <w:kern w:val="0"/>
          <w:lang w:val="en-GB"/>
          <w14:ligatures w14:val="none"/>
        </w:rPr>
        <w:lastRenderedPageBreak/>
        <w:t>Description</w:t>
      </w:r>
    </w:p>
    <w:p w14:paraId="0A6D7D9E" w14:textId="77777777" w:rsidR="00466E14" w:rsidRPr="00466E14" w:rsidRDefault="00466E14" w:rsidP="00466E14">
      <w:pPr>
        <w:spacing w:line="480" w:lineRule="auto"/>
        <w:rPr>
          <w:rFonts w:ascii="Times New Roman" w:hAnsi="Times New Roman" w:cs="Times New Roman"/>
          <w:lang w:val="en-GB"/>
        </w:rPr>
      </w:pPr>
      <w:r w:rsidRPr="00466E14">
        <w:rPr>
          <w:rFonts w:ascii="Times New Roman" w:hAnsi="Times New Roman" w:cs="Times New Roman"/>
          <w:lang w:val="en-GB"/>
        </w:rPr>
        <w:t xml:space="preserve">The activity was experienced during a Grade 12 Advanced Biology lesson in Week 7 under the supervision of my School-Based Mentor (SBM), Mr. Hatem. The lesson was a revision of Mendelian Genetics before a summative assessment that was around the corner. The learning objectives of the lesson were as follows: (1) recall the crucial genetic terms, (2) use Punnett squares in the event of monohybrid and dihybrid crosses, and (3) compare gene linkage to the law of independent assortment. My observation was on Mr. Hatem's assessment process, how clear his assessment criteria were, and what went on in the classroom. The lesson began with a quick choral response to refresh key vocabulary. Then, Mr. Hatem presented a question from the summative test and co-constructed the success criteria for doing it with the students. He then used mini-whiteboards for a whole-class formative assessment on a monohybrid cross, allowing him to scan for understanding quickly. For the more complex dihybrid cross, he transitioned to a structured peer tutoring activity, where students used the co-created checklist to support each other. The final objective was addressed through a probing, dialogic exchange with several students. The lesson was characterized by a brisk pace, high levels of student participation, and a supportive atmosphere, concluding with Mr. Hatem giving </w:t>
      </w:r>
      <w:proofErr w:type="spellStart"/>
      <w:r w:rsidRPr="00466E14">
        <w:rPr>
          <w:rFonts w:ascii="Times New Roman" w:hAnsi="Times New Roman" w:cs="Times New Roman"/>
          <w:lang w:val="en-GB"/>
        </w:rPr>
        <w:t>behavior</w:t>
      </w:r>
      <w:proofErr w:type="spellEnd"/>
      <w:r w:rsidRPr="00466E14">
        <w:rPr>
          <w:rFonts w:ascii="Times New Roman" w:hAnsi="Times New Roman" w:cs="Times New Roman"/>
          <w:lang w:val="en-GB"/>
        </w:rPr>
        <w:t>-specific praise to reinforce positive learning habits.</w:t>
      </w:r>
    </w:p>
    <w:p w14:paraId="2578CC20" w14:textId="6AB8DDD5" w:rsidR="00466E14" w:rsidRPr="00466E14" w:rsidRDefault="00466E14" w:rsidP="00466E14">
      <w:pPr>
        <w:tabs>
          <w:tab w:val="left" w:pos="540"/>
          <w:tab w:val="center" w:pos="4513"/>
        </w:tabs>
        <w:spacing w:line="480" w:lineRule="auto"/>
        <w:jc w:val="center"/>
        <w:rPr>
          <w:rFonts w:ascii="Times New Roman" w:hAnsi="Times New Roman" w:cs="Times New Roman"/>
          <w:lang w:val="en-GB"/>
        </w:rPr>
      </w:pPr>
      <w:r w:rsidRPr="00466E14">
        <w:rPr>
          <w:rFonts w:ascii="Times New Roman" w:hAnsi="Times New Roman" w:cs="Times New Roman"/>
          <w:b/>
          <w:bCs/>
          <w:kern w:val="0"/>
          <w:lang w:val="en-GB"/>
          <w14:ligatures w14:val="none"/>
        </w:rPr>
        <w:t>Evaluation</w:t>
      </w:r>
    </w:p>
    <w:p w14:paraId="263BA42B" w14:textId="77777777" w:rsidR="00466E14" w:rsidRPr="00466E14" w:rsidRDefault="00466E14" w:rsidP="00466E14">
      <w:pPr>
        <w:spacing w:line="480" w:lineRule="auto"/>
        <w:rPr>
          <w:rFonts w:ascii="Times New Roman" w:hAnsi="Times New Roman" w:cs="Times New Roman"/>
          <w:lang w:val="en-GB"/>
        </w:rPr>
      </w:pPr>
      <w:r w:rsidRPr="00466E14">
        <w:rPr>
          <w:rFonts w:ascii="Times New Roman" w:hAnsi="Times New Roman" w:cs="Times New Roman"/>
          <w:lang w:val="en-GB"/>
        </w:rPr>
        <w:t xml:space="preserve">The lesson was a resounding success in achieving its goals. The strategic use of Active Student Response (ASR) techniques, such as choral responding and mini-whiteboards, ensured near-total student engagement and provided Mr. Hatem with immediate, actionable data on student understanding. The co-innovation on standards of success was successful, making an otherwise daunting evaluation understandable and clear, and establishing a culture </w:t>
      </w:r>
      <w:r w:rsidRPr="00466E14">
        <w:rPr>
          <w:rFonts w:ascii="Times New Roman" w:hAnsi="Times New Roman" w:cs="Times New Roman"/>
          <w:lang w:val="en-GB"/>
        </w:rPr>
        <w:lastRenderedPageBreak/>
        <w:t xml:space="preserve">where students felt less tense and more in charge. The classroom climate was constructively productive; students were eager to participate and take intellectual risks without the fear of negative judgments. The peer tutoring activity was particularly fruitful, facilitating productive, on-task discussion. The sole minor hitch was an instantaneous break as the student pairs swapped over into the peer tutoring modes, something which will be smoothed out by even more explicit </w:t>
      </w:r>
      <w:proofErr w:type="spellStart"/>
      <w:r w:rsidRPr="00466E14">
        <w:rPr>
          <w:rFonts w:ascii="Times New Roman" w:hAnsi="Times New Roman" w:cs="Times New Roman"/>
          <w:lang w:val="en-GB"/>
        </w:rPr>
        <w:t>modeling</w:t>
      </w:r>
      <w:proofErr w:type="spellEnd"/>
      <w:r w:rsidRPr="00466E14">
        <w:rPr>
          <w:rFonts w:ascii="Times New Roman" w:hAnsi="Times New Roman" w:cs="Times New Roman"/>
          <w:lang w:val="en-GB"/>
        </w:rPr>
        <w:t xml:space="preserve"> in the </w:t>
      </w:r>
      <w:proofErr w:type="gramStart"/>
      <w:r w:rsidRPr="00466E14">
        <w:rPr>
          <w:rFonts w:ascii="Times New Roman" w:hAnsi="Times New Roman" w:cs="Times New Roman"/>
          <w:lang w:val="en-GB"/>
        </w:rPr>
        <w:t>future..</w:t>
      </w:r>
      <w:proofErr w:type="gramEnd"/>
      <w:r w:rsidRPr="00466E14">
        <w:rPr>
          <w:rFonts w:ascii="Times New Roman" w:hAnsi="Times New Roman" w:cs="Times New Roman"/>
          <w:lang w:val="en-GB"/>
        </w:rPr>
        <w:t xml:space="preserve"> In general, however, the lesson elegantly intertwined the preparation for assessment with the effective, inclusive instruction practices.</w:t>
      </w:r>
    </w:p>
    <w:p w14:paraId="5915D678" w14:textId="77777777" w:rsidR="00466E14" w:rsidRPr="00466E14" w:rsidRDefault="00466E14" w:rsidP="00466E14">
      <w:pPr>
        <w:tabs>
          <w:tab w:val="left" w:pos="540"/>
          <w:tab w:val="center" w:pos="4513"/>
        </w:tabs>
        <w:spacing w:line="480" w:lineRule="auto"/>
        <w:jc w:val="center"/>
        <w:rPr>
          <w:rFonts w:ascii="Times New Roman" w:hAnsi="Times New Roman" w:cs="Times New Roman"/>
          <w:lang w:val="en-GB"/>
        </w:rPr>
      </w:pPr>
      <w:r w:rsidRPr="00466E14">
        <w:rPr>
          <w:rFonts w:ascii="Times New Roman" w:hAnsi="Times New Roman" w:cs="Times New Roman"/>
          <w:b/>
          <w:bCs/>
          <w:kern w:val="0"/>
          <w:lang w:val="en-GB"/>
          <w14:ligatures w14:val="none"/>
        </w:rPr>
        <w:t>Analysis</w:t>
      </w:r>
    </w:p>
    <w:p w14:paraId="35D1930F" w14:textId="77777777" w:rsidR="00466E14" w:rsidRPr="00466E14" w:rsidRDefault="00466E14" w:rsidP="00466E14">
      <w:pPr>
        <w:spacing w:line="480" w:lineRule="auto"/>
        <w:rPr>
          <w:rFonts w:ascii="Times New Roman" w:hAnsi="Times New Roman" w:cs="Times New Roman"/>
          <w:lang w:val="en-GB"/>
        </w:rPr>
      </w:pPr>
      <w:r w:rsidRPr="00466E14">
        <w:rPr>
          <w:rFonts w:ascii="Times New Roman" w:hAnsi="Times New Roman" w:cs="Times New Roman"/>
          <w:lang w:val="en-GB"/>
        </w:rPr>
        <w:t xml:space="preserve">Mr. Hatem's lesson contained a high-level integration of </w:t>
      </w:r>
      <w:proofErr w:type="gramStart"/>
      <w:r w:rsidRPr="00466E14">
        <w:rPr>
          <w:rFonts w:ascii="Times New Roman" w:hAnsi="Times New Roman" w:cs="Times New Roman"/>
          <w:lang w:val="en-GB"/>
        </w:rPr>
        <w:t>many</w:t>
      </w:r>
      <w:proofErr w:type="gramEnd"/>
      <w:r w:rsidRPr="00466E14">
        <w:rPr>
          <w:rFonts w:ascii="Times New Roman" w:hAnsi="Times New Roman" w:cs="Times New Roman"/>
          <w:lang w:val="en-GB"/>
        </w:rPr>
        <w:t xml:space="preserve"> evidence-informed theories about how to teach. His strategy of explicit learning intentions and assessment criteria is at the heart of the formative assessment principles. By rendering learning intentions and success criteria both open and co-constructed, he rendered the students "owners of their own learning" (Clarke, 2014, p. 6). The strategy works with the challenge of treating assessment as a learning event instead of an end-point judgment. The distinction between a closed skill like defining terms and an open, application-based task like solving a problem (Clarke, 2021) was managed by scaffolding the complexity, moving from a simple choral response to a more complex peer-tutoring model.</w:t>
      </w:r>
    </w:p>
    <w:p w14:paraId="44037BA5" w14:textId="77777777" w:rsidR="00466E14" w:rsidRPr="00466E14" w:rsidRDefault="00466E14" w:rsidP="00466E14">
      <w:pPr>
        <w:spacing w:line="480" w:lineRule="auto"/>
        <w:rPr>
          <w:rFonts w:ascii="Times New Roman" w:hAnsi="Times New Roman" w:cs="Times New Roman"/>
          <w:lang w:val="en-GB"/>
        </w:rPr>
      </w:pPr>
    </w:p>
    <w:p w14:paraId="54AB3092" w14:textId="77777777" w:rsidR="00466E14" w:rsidRPr="00466E14" w:rsidRDefault="00466E14" w:rsidP="00466E14">
      <w:pPr>
        <w:spacing w:line="480" w:lineRule="auto"/>
        <w:rPr>
          <w:rFonts w:ascii="Times New Roman" w:hAnsi="Times New Roman" w:cs="Times New Roman"/>
          <w:lang w:val="en-GB"/>
        </w:rPr>
      </w:pPr>
      <w:r w:rsidRPr="00466E14">
        <w:rPr>
          <w:rFonts w:ascii="Times New Roman" w:hAnsi="Times New Roman" w:cs="Times New Roman"/>
          <w:lang w:val="en-GB"/>
        </w:rPr>
        <w:t xml:space="preserve">The classroom was proof of the worth of constructive teacher-pupil relations as a foundation for learning (Pollard et al., 2019). Through his encouraging tone and probing questions, Mr. Hatem created a feeling of "emotional security" in which pupils could afford to get things wrong and learn (Pollard et al., 2019, p. 178). This discursive tactic, whereby he employed one student's correct reply to capitalize upon another's response, raised the discussion from an IRF (Initiation-Response-Feedback) exchange to a cumulative and </w:t>
      </w:r>
      <w:r w:rsidRPr="00466E14">
        <w:rPr>
          <w:rFonts w:ascii="Times New Roman" w:hAnsi="Times New Roman" w:cs="Times New Roman"/>
          <w:lang w:val="en-GB"/>
        </w:rPr>
        <w:lastRenderedPageBreak/>
        <w:t xml:space="preserve">collective questioning (Watson et al., n.d., p. 396). It created a "language-rich classroom" where discussion was important for building understanding. Furthermore, his use of </w:t>
      </w:r>
      <w:proofErr w:type="spellStart"/>
      <w:r w:rsidRPr="00466E14">
        <w:rPr>
          <w:rFonts w:ascii="Times New Roman" w:hAnsi="Times New Roman" w:cs="Times New Roman"/>
          <w:lang w:val="en-GB"/>
        </w:rPr>
        <w:t>behavior</w:t>
      </w:r>
      <w:proofErr w:type="spellEnd"/>
      <w:r w:rsidRPr="00466E14">
        <w:rPr>
          <w:rFonts w:ascii="Times New Roman" w:hAnsi="Times New Roman" w:cs="Times New Roman"/>
          <w:lang w:val="en-GB"/>
        </w:rPr>
        <w:t>-specific praise, such as complimenting a student's "meticulous setup," reinforced the specific processes that lead to success, a far more effective strategy than generic encouragement.</w:t>
      </w:r>
    </w:p>
    <w:p w14:paraId="467343C1" w14:textId="77777777" w:rsidR="00466E14" w:rsidRPr="00466E14" w:rsidRDefault="00466E14" w:rsidP="00466E14">
      <w:pPr>
        <w:spacing w:line="480" w:lineRule="auto"/>
        <w:rPr>
          <w:rFonts w:ascii="Times New Roman" w:hAnsi="Times New Roman" w:cs="Times New Roman"/>
          <w:lang w:val="en-GB"/>
        </w:rPr>
      </w:pPr>
    </w:p>
    <w:p w14:paraId="4EFB2079" w14:textId="77777777" w:rsidR="00466E14" w:rsidRPr="00466E14" w:rsidRDefault="00466E14" w:rsidP="00466E14">
      <w:pPr>
        <w:spacing w:line="480" w:lineRule="auto"/>
        <w:rPr>
          <w:rFonts w:ascii="Times New Roman" w:hAnsi="Times New Roman" w:cs="Times New Roman"/>
          <w:lang w:val="en-GB"/>
        </w:rPr>
      </w:pPr>
      <w:r w:rsidRPr="00466E14">
        <w:rPr>
          <w:rFonts w:ascii="Times New Roman" w:hAnsi="Times New Roman" w:cs="Times New Roman"/>
          <w:lang w:val="en-GB"/>
        </w:rPr>
        <w:t>Using varied, high-participation strategies demonstrated a strong knowledge of diverse learners and inclusive practice. By employing ASR techniques, Mr. Hatem ensured that all students, not just the most confident volunteers, were cognitively engaged. The shift to structured peer tutoring for the dihybrid cross was a particularly astute application of social constructivist theory, creating a Zone of Proximal Development where students could effectively scaffold each other's learning (Vygotsky, 1978). This decentralized the classroom, activating students as valuable learning resources for one another and allowing Mr. Hatem to provide targeted support where it was most needed, a hallmark of effective, differentiated instruction.</w:t>
      </w:r>
    </w:p>
    <w:p w14:paraId="1319A83D" w14:textId="77777777" w:rsidR="00466E14" w:rsidRPr="00466E14" w:rsidRDefault="00466E14" w:rsidP="00466E14">
      <w:pPr>
        <w:tabs>
          <w:tab w:val="left" w:pos="540"/>
          <w:tab w:val="center" w:pos="4513"/>
        </w:tabs>
        <w:spacing w:line="480" w:lineRule="auto"/>
        <w:jc w:val="center"/>
        <w:rPr>
          <w:rFonts w:ascii="Times New Roman" w:hAnsi="Times New Roman" w:cs="Times New Roman"/>
          <w:lang w:val="en-GB"/>
        </w:rPr>
      </w:pPr>
      <w:r w:rsidRPr="00466E14">
        <w:rPr>
          <w:rFonts w:ascii="Times New Roman" w:hAnsi="Times New Roman" w:cs="Times New Roman"/>
          <w:b/>
          <w:bCs/>
          <w:kern w:val="0"/>
          <w:lang w:val="en-GB"/>
          <w14:ligatures w14:val="none"/>
        </w:rPr>
        <w:t>Conclusion</w:t>
      </w:r>
    </w:p>
    <w:p w14:paraId="302CA447" w14:textId="5A57DD50" w:rsidR="00E43FE7" w:rsidRDefault="00466E14" w:rsidP="00466E14">
      <w:pPr>
        <w:spacing w:line="480" w:lineRule="auto"/>
        <w:rPr>
          <w:rFonts w:ascii="Times New Roman" w:hAnsi="Times New Roman" w:cs="Times New Roman"/>
          <w:kern w:val="0"/>
          <w:lang w:val="en-GB"/>
          <w14:ligatures w14:val="none"/>
        </w:rPr>
      </w:pPr>
      <w:r w:rsidRPr="00466E14">
        <w:rPr>
          <w:rFonts w:ascii="Times New Roman" w:hAnsi="Times New Roman" w:cs="Times New Roman"/>
          <w:lang w:val="en-GB"/>
        </w:rPr>
        <w:t xml:space="preserve">This experience profoundly taught me the symbiotic relationship between a </w:t>
      </w:r>
      <w:proofErr w:type="spellStart"/>
      <w:r w:rsidRPr="00466E14">
        <w:rPr>
          <w:rFonts w:ascii="Times New Roman" w:hAnsi="Times New Roman" w:cs="Times New Roman"/>
          <w:lang w:val="en-GB"/>
        </w:rPr>
        <w:t>favorable</w:t>
      </w:r>
      <w:proofErr w:type="spellEnd"/>
      <w:r w:rsidRPr="00466E14">
        <w:rPr>
          <w:rFonts w:ascii="Times New Roman" w:hAnsi="Times New Roman" w:cs="Times New Roman"/>
          <w:lang w:val="en-GB"/>
        </w:rPr>
        <w:t xml:space="preserve"> classroom climate, robust formative assessment, and academic rigor. Mr. Hatem demonstrated that a positive learning environment is the foundation of academic rigor, not 'soft' on high expectations. The lesson solidified my understanding that best practices are intentional and </w:t>
      </w:r>
      <w:proofErr w:type="gramStart"/>
      <w:r w:rsidRPr="00466E14">
        <w:rPr>
          <w:rFonts w:ascii="Times New Roman" w:hAnsi="Times New Roman" w:cs="Times New Roman"/>
          <w:lang w:val="en-GB"/>
        </w:rPr>
        <w:t>research-driven</w:t>
      </w:r>
      <w:proofErr w:type="gramEnd"/>
      <w:r w:rsidRPr="00466E14">
        <w:rPr>
          <w:rFonts w:ascii="Times New Roman" w:hAnsi="Times New Roman" w:cs="Times New Roman"/>
          <w:lang w:val="en-GB"/>
        </w:rPr>
        <w:t xml:space="preserve">. In the future, I will strive to adopt many of these strategies into my own practice. Specifically, I will stress the importance of student co-construction of success criteria to maintain transparency in assessment and empower students to take control of their learning. In addition, I will deliberately integrate ASR strategies like </w:t>
      </w:r>
      <w:proofErr w:type="gramStart"/>
      <w:r w:rsidRPr="00466E14">
        <w:rPr>
          <w:rFonts w:ascii="Times New Roman" w:hAnsi="Times New Roman" w:cs="Times New Roman"/>
          <w:lang w:val="en-GB"/>
        </w:rPr>
        <w:t>mini-</w:t>
      </w:r>
      <w:r w:rsidRPr="00466E14">
        <w:rPr>
          <w:rFonts w:ascii="Times New Roman" w:hAnsi="Times New Roman" w:cs="Times New Roman"/>
          <w:lang w:val="en-GB"/>
        </w:rPr>
        <w:lastRenderedPageBreak/>
        <w:t>whiteboards</w:t>
      </w:r>
      <w:proofErr w:type="gramEnd"/>
      <w:r w:rsidRPr="00466E14">
        <w:rPr>
          <w:rFonts w:ascii="Times New Roman" w:hAnsi="Times New Roman" w:cs="Times New Roman"/>
          <w:lang w:val="en-GB"/>
        </w:rPr>
        <w:t xml:space="preserve"> to enable complete participation and gather immediate data. Finally, I plan to create more dialogic questioning and employ formalized peer learning so that students can become active participants in their own education. This experience has reinforced my belief that the most inclusive and productive learning environment is one in which every student feels respected, actively engages, and understands the path to success.</w:t>
      </w:r>
    </w:p>
    <w:p w14:paraId="0FD5AE23" w14:textId="77777777" w:rsidR="00E43FE7" w:rsidRDefault="00E43FE7" w:rsidP="000D700A">
      <w:pPr>
        <w:spacing w:line="480" w:lineRule="auto"/>
        <w:rPr>
          <w:rFonts w:ascii="Times New Roman" w:hAnsi="Times New Roman" w:cs="Times New Roman"/>
          <w:kern w:val="0"/>
          <w:lang w:val="en-GB"/>
          <w14:ligatures w14:val="none"/>
        </w:rPr>
      </w:pPr>
    </w:p>
    <w:p w14:paraId="1B22C419" w14:textId="77777777" w:rsidR="00E43FE7" w:rsidRDefault="00E43FE7" w:rsidP="000D700A">
      <w:pPr>
        <w:spacing w:line="480" w:lineRule="auto"/>
        <w:rPr>
          <w:rFonts w:ascii="Times New Roman" w:hAnsi="Times New Roman" w:cs="Times New Roman"/>
          <w:kern w:val="0"/>
          <w:lang w:val="en-GB"/>
          <w14:ligatures w14:val="none"/>
        </w:rPr>
      </w:pPr>
    </w:p>
    <w:p w14:paraId="18A82F5D" w14:textId="77777777" w:rsidR="00E43FE7" w:rsidRDefault="00E43FE7" w:rsidP="000D700A">
      <w:pPr>
        <w:spacing w:line="480" w:lineRule="auto"/>
        <w:rPr>
          <w:rFonts w:ascii="Times New Roman" w:hAnsi="Times New Roman" w:cs="Times New Roman"/>
          <w:kern w:val="0"/>
          <w:lang w:val="en-GB"/>
          <w14:ligatures w14:val="none"/>
        </w:rPr>
      </w:pPr>
    </w:p>
    <w:p w14:paraId="3EB675AC" w14:textId="77777777" w:rsidR="00A3013B" w:rsidRDefault="00A3013B" w:rsidP="000D700A">
      <w:pPr>
        <w:spacing w:line="480" w:lineRule="auto"/>
        <w:rPr>
          <w:rFonts w:ascii="Times New Roman" w:hAnsi="Times New Roman" w:cs="Times New Roman"/>
          <w:kern w:val="0"/>
          <w:lang w:val="en-GB"/>
          <w14:ligatures w14:val="none"/>
        </w:rPr>
      </w:pPr>
    </w:p>
    <w:p w14:paraId="6FBDE7BF" w14:textId="77777777" w:rsidR="00A3013B" w:rsidRDefault="00A3013B" w:rsidP="000D700A">
      <w:pPr>
        <w:spacing w:line="480" w:lineRule="auto"/>
        <w:rPr>
          <w:rFonts w:ascii="Times New Roman" w:hAnsi="Times New Roman" w:cs="Times New Roman"/>
          <w:kern w:val="0"/>
          <w:lang w:val="en-GB"/>
          <w14:ligatures w14:val="none"/>
        </w:rPr>
      </w:pPr>
    </w:p>
    <w:p w14:paraId="25E9D9F9" w14:textId="77777777" w:rsidR="00A3013B" w:rsidRDefault="00A3013B" w:rsidP="000D700A">
      <w:pPr>
        <w:spacing w:line="480" w:lineRule="auto"/>
        <w:rPr>
          <w:rFonts w:ascii="Times New Roman" w:hAnsi="Times New Roman" w:cs="Times New Roman"/>
          <w:kern w:val="0"/>
          <w:lang w:val="en-GB"/>
          <w14:ligatures w14:val="none"/>
        </w:rPr>
      </w:pPr>
    </w:p>
    <w:p w14:paraId="3E7502C2" w14:textId="77777777" w:rsidR="00A3013B" w:rsidRDefault="00A3013B" w:rsidP="000D700A">
      <w:pPr>
        <w:spacing w:line="480" w:lineRule="auto"/>
        <w:rPr>
          <w:rFonts w:ascii="Times New Roman" w:hAnsi="Times New Roman" w:cs="Times New Roman"/>
          <w:kern w:val="0"/>
          <w:lang w:val="en-GB"/>
          <w14:ligatures w14:val="none"/>
        </w:rPr>
      </w:pPr>
    </w:p>
    <w:p w14:paraId="4B10A1C1" w14:textId="77777777" w:rsidR="00380019" w:rsidRDefault="00380019" w:rsidP="000D700A">
      <w:pPr>
        <w:spacing w:line="480" w:lineRule="auto"/>
      </w:pPr>
    </w:p>
    <w:p w14:paraId="334A5F1F" w14:textId="77777777" w:rsidR="000D700A" w:rsidRDefault="000D700A" w:rsidP="000D700A">
      <w:pPr>
        <w:spacing w:line="480" w:lineRule="auto"/>
      </w:pPr>
    </w:p>
    <w:p w14:paraId="18040EAA" w14:textId="77777777" w:rsidR="000D700A" w:rsidRDefault="000D700A" w:rsidP="000D700A">
      <w:pPr>
        <w:spacing w:line="480" w:lineRule="auto"/>
      </w:pPr>
    </w:p>
    <w:p w14:paraId="6DD989F5" w14:textId="77777777" w:rsidR="000D700A" w:rsidRDefault="000D700A" w:rsidP="000D700A">
      <w:pPr>
        <w:spacing w:line="480" w:lineRule="auto"/>
      </w:pPr>
    </w:p>
    <w:p w14:paraId="16E0AADC" w14:textId="77777777" w:rsidR="00466E14" w:rsidRDefault="00466E14" w:rsidP="000D700A">
      <w:pPr>
        <w:spacing w:line="480" w:lineRule="auto"/>
      </w:pPr>
    </w:p>
    <w:p w14:paraId="6C7E0DE8" w14:textId="77777777" w:rsidR="00466E14" w:rsidRDefault="00466E14" w:rsidP="000D700A">
      <w:pPr>
        <w:spacing w:line="480" w:lineRule="auto"/>
      </w:pPr>
    </w:p>
    <w:p w14:paraId="6D9ED63E" w14:textId="77777777" w:rsidR="000D700A" w:rsidRDefault="000D700A" w:rsidP="000D700A">
      <w:pPr>
        <w:spacing w:line="480" w:lineRule="auto"/>
      </w:pPr>
    </w:p>
    <w:p w14:paraId="3C42EF52" w14:textId="77777777" w:rsidR="000D700A" w:rsidRDefault="000D700A" w:rsidP="000D700A">
      <w:pPr>
        <w:spacing w:line="480" w:lineRule="auto"/>
      </w:pPr>
    </w:p>
    <w:p w14:paraId="26DC3C2D" w14:textId="6EE3FC3F" w:rsidR="00E43FE7" w:rsidRDefault="00E43FE7" w:rsidP="000D700A">
      <w:pPr>
        <w:spacing w:line="480" w:lineRule="auto"/>
        <w:jc w:val="center"/>
      </w:pPr>
      <w:r w:rsidRPr="00E43FE7">
        <w:rPr>
          <w:rFonts w:ascii="Times New Roman" w:hAnsi="Times New Roman" w:cs="Times New Roman"/>
          <w:b/>
          <w:bCs/>
          <w:kern w:val="0"/>
          <w:lang w:val="en-GB"/>
          <w14:ligatures w14:val="none"/>
        </w:rPr>
        <w:lastRenderedPageBreak/>
        <w:t>References</w:t>
      </w:r>
    </w:p>
    <w:p w14:paraId="4BD35D98" w14:textId="685D7BE2" w:rsidR="000D700A" w:rsidRPr="000D700A" w:rsidRDefault="000D700A" w:rsidP="000D700A">
      <w:pPr>
        <w:spacing w:line="480" w:lineRule="auto"/>
        <w:ind w:left="720" w:hanging="720"/>
        <w:rPr>
          <w:rFonts w:ascii="Times New Roman" w:hAnsi="Times New Roman" w:cs="Times New Roman"/>
          <w:kern w:val="0"/>
          <w:lang w:val="en-GB"/>
          <w14:ligatures w14:val="none"/>
        </w:rPr>
      </w:pPr>
      <w:r w:rsidRPr="000D700A">
        <w:rPr>
          <w:rFonts w:ascii="Times New Roman" w:hAnsi="Times New Roman" w:cs="Times New Roman"/>
          <w:kern w:val="0"/>
          <w:lang w:val="en-GB"/>
          <w14:ligatures w14:val="none"/>
        </w:rPr>
        <w:t xml:space="preserve">Clarke, S. (2014). Outstanding formative assessment: </w:t>
      </w:r>
      <w:r w:rsidRPr="000D700A">
        <w:rPr>
          <w:rFonts w:ascii="Times New Roman" w:hAnsi="Times New Roman" w:cs="Times New Roman"/>
          <w:i/>
          <w:iCs/>
          <w:kern w:val="0"/>
          <w:lang w:val="en-GB"/>
          <w14:ligatures w14:val="none"/>
        </w:rPr>
        <w:t>Culture and practice. Rising Stars UK Ltd</w:t>
      </w:r>
      <w:r w:rsidRPr="000D700A">
        <w:rPr>
          <w:rFonts w:ascii="Times New Roman" w:hAnsi="Times New Roman" w:cs="Times New Roman"/>
          <w:kern w:val="0"/>
          <w:lang w:val="en-GB"/>
          <w14:ligatures w14:val="none"/>
        </w:rPr>
        <w:t>.</w:t>
      </w:r>
    </w:p>
    <w:p w14:paraId="3ABF9963" w14:textId="65668835" w:rsidR="000D700A" w:rsidRPr="000D700A" w:rsidRDefault="000D700A" w:rsidP="000D700A">
      <w:pPr>
        <w:spacing w:line="480" w:lineRule="auto"/>
        <w:ind w:left="720" w:hanging="720"/>
        <w:rPr>
          <w:rFonts w:ascii="Times New Roman" w:hAnsi="Times New Roman" w:cs="Times New Roman"/>
          <w:kern w:val="0"/>
          <w:lang w:val="en-GB"/>
          <w14:ligatures w14:val="none"/>
        </w:rPr>
      </w:pPr>
      <w:r w:rsidRPr="000D700A">
        <w:rPr>
          <w:rFonts w:ascii="Times New Roman" w:hAnsi="Times New Roman" w:cs="Times New Roman"/>
          <w:kern w:val="0"/>
          <w:lang w:val="en-GB"/>
          <w14:ligatures w14:val="none"/>
        </w:rPr>
        <w:t xml:space="preserve">Clarke, S. (2021). Unlocking: Learning intentions: </w:t>
      </w:r>
      <w:r w:rsidRPr="000D700A">
        <w:rPr>
          <w:rFonts w:ascii="Times New Roman" w:hAnsi="Times New Roman" w:cs="Times New Roman"/>
          <w:i/>
          <w:iCs/>
          <w:kern w:val="0"/>
          <w:lang w:val="en-GB"/>
          <w14:ligatures w14:val="none"/>
        </w:rPr>
        <w:t>Shifting from product to process across the disciplines</w:t>
      </w:r>
      <w:r w:rsidRPr="000D700A">
        <w:rPr>
          <w:rFonts w:ascii="Times New Roman" w:hAnsi="Times New Roman" w:cs="Times New Roman"/>
          <w:kern w:val="0"/>
          <w:lang w:val="en-GB"/>
          <w14:ligatures w14:val="none"/>
        </w:rPr>
        <w:t>. Corwin Press.</w:t>
      </w:r>
    </w:p>
    <w:p w14:paraId="495C5E3E" w14:textId="298443CE" w:rsidR="000D700A" w:rsidRPr="000D700A" w:rsidRDefault="000D700A" w:rsidP="000D700A">
      <w:pPr>
        <w:spacing w:line="480" w:lineRule="auto"/>
        <w:ind w:left="720" w:hanging="720"/>
        <w:rPr>
          <w:rFonts w:ascii="Times New Roman" w:hAnsi="Times New Roman" w:cs="Times New Roman"/>
          <w:kern w:val="0"/>
          <w:lang w:val="en-GB"/>
          <w14:ligatures w14:val="none"/>
        </w:rPr>
      </w:pPr>
      <w:r w:rsidRPr="000D700A">
        <w:rPr>
          <w:rFonts w:ascii="Times New Roman" w:hAnsi="Times New Roman" w:cs="Times New Roman"/>
          <w:kern w:val="0"/>
          <w:lang w:val="en-GB"/>
          <w14:ligatures w14:val="none"/>
        </w:rPr>
        <w:t xml:space="preserve">Pollard, A., Black-Hawkins, K., Cliff Hodges, G., Dudley, P., Higgins, S., James, M., Linklater, H., Swaffield, S., Swann, M., Winterbottom, M., &amp; Wolpert, M. A. (2019). </w:t>
      </w:r>
      <w:r w:rsidRPr="000D700A">
        <w:rPr>
          <w:rFonts w:ascii="Times New Roman" w:hAnsi="Times New Roman" w:cs="Times New Roman"/>
          <w:i/>
          <w:iCs/>
          <w:kern w:val="0"/>
          <w:lang w:val="en-GB"/>
          <w14:ligatures w14:val="none"/>
        </w:rPr>
        <w:t>Reflective teaching in schools</w:t>
      </w:r>
      <w:r w:rsidRPr="000D700A">
        <w:rPr>
          <w:rFonts w:ascii="Times New Roman" w:hAnsi="Times New Roman" w:cs="Times New Roman"/>
          <w:kern w:val="0"/>
          <w:lang w:val="en-GB"/>
          <w14:ligatures w14:val="none"/>
        </w:rPr>
        <w:t xml:space="preserve"> (5th ed.). Bloomsbury Academic.</w:t>
      </w:r>
    </w:p>
    <w:p w14:paraId="2A832B46" w14:textId="5229F48D" w:rsidR="000D700A" w:rsidRPr="000D700A" w:rsidRDefault="000D700A" w:rsidP="000D700A">
      <w:pPr>
        <w:spacing w:line="480" w:lineRule="auto"/>
        <w:ind w:left="720" w:hanging="720"/>
        <w:rPr>
          <w:rFonts w:ascii="Times New Roman" w:hAnsi="Times New Roman" w:cs="Times New Roman"/>
          <w:kern w:val="0"/>
          <w:lang w:val="en-GB"/>
          <w14:ligatures w14:val="none"/>
        </w:rPr>
      </w:pPr>
      <w:r w:rsidRPr="000D700A">
        <w:rPr>
          <w:rFonts w:ascii="Times New Roman" w:hAnsi="Times New Roman" w:cs="Times New Roman"/>
          <w:kern w:val="0"/>
          <w:lang w:val="en-GB"/>
          <w14:ligatures w14:val="none"/>
        </w:rPr>
        <w:t xml:space="preserve">Vygotsky, L. S. (1978). Mind in society: </w:t>
      </w:r>
      <w:r w:rsidRPr="000D700A">
        <w:rPr>
          <w:rFonts w:ascii="Times New Roman" w:hAnsi="Times New Roman" w:cs="Times New Roman"/>
          <w:i/>
          <w:iCs/>
          <w:kern w:val="0"/>
          <w:lang w:val="en-GB"/>
          <w14:ligatures w14:val="none"/>
        </w:rPr>
        <w:t>The development of higher psychological processes</w:t>
      </w:r>
      <w:r w:rsidRPr="000D700A">
        <w:rPr>
          <w:rFonts w:ascii="Times New Roman" w:hAnsi="Times New Roman" w:cs="Times New Roman"/>
          <w:kern w:val="0"/>
          <w:lang w:val="en-GB"/>
          <w14:ligatures w14:val="none"/>
        </w:rPr>
        <w:t>. Harvard University Press.</w:t>
      </w:r>
    </w:p>
    <w:p w14:paraId="33A67A7A" w14:textId="051FF287" w:rsidR="00AE3C80" w:rsidRPr="00E43FE7" w:rsidRDefault="000D700A" w:rsidP="000D700A">
      <w:pPr>
        <w:spacing w:line="480" w:lineRule="auto"/>
        <w:ind w:left="720" w:hanging="720"/>
        <w:rPr>
          <w:rFonts w:ascii="Times New Roman" w:hAnsi="Times New Roman" w:cs="Times New Roman"/>
          <w:kern w:val="0"/>
          <w:lang w:val="en-GB"/>
          <w14:ligatures w14:val="none"/>
        </w:rPr>
      </w:pPr>
      <w:r w:rsidRPr="000D700A">
        <w:rPr>
          <w:rFonts w:ascii="Times New Roman" w:hAnsi="Times New Roman" w:cs="Times New Roman"/>
          <w:kern w:val="0"/>
          <w:lang w:val="en-GB"/>
          <w14:ligatures w14:val="none"/>
        </w:rPr>
        <w:t>Watson, A., Newman, R., &amp; Myhill, D. (n.d.). Creating a language-rich classroom. In S. Capel, M. Leask, &amp; S. Younie (Eds.), Learning to teach in the secondary school:</w:t>
      </w:r>
      <w:r w:rsidRPr="000D700A">
        <w:rPr>
          <w:rFonts w:ascii="Times New Roman" w:hAnsi="Times New Roman" w:cs="Times New Roman"/>
          <w:i/>
          <w:iCs/>
          <w:kern w:val="0"/>
          <w:lang w:val="en-GB"/>
          <w14:ligatures w14:val="none"/>
        </w:rPr>
        <w:t xml:space="preserve"> A companion to school experience</w:t>
      </w:r>
      <w:r w:rsidRPr="000D700A">
        <w:rPr>
          <w:rFonts w:ascii="Times New Roman" w:hAnsi="Times New Roman" w:cs="Times New Roman"/>
          <w:kern w:val="0"/>
          <w:lang w:val="en-GB"/>
          <w14:ligatures w14:val="none"/>
        </w:rPr>
        <w:t xml:space="preserve"> (8th ed., pp. 394-404). Routledge.</w:t>
      </w:r>
    </w:p>
    <w:sectPr w:rsidR="00AE3C80" w:rsidRPr="00E43F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FE7"/>
    <w:rsid w:val="000D700A"/>
    <w:rsid w:val="0011040A"/>
    <w:rsid w:val="0028550E"/>
    <w:rsid w:val="00380019"/>
    <w:rsid w:val="00394552"/>
    <w:rsid w:val="003D4703"/>
    <w:rsid w:val="00466E14"/>
    <w:rsid w:val="00783517"/>
    <w:rsid w:val="0091054D"/>
    <w:rsid w:val="009425E0"/>
    <w:rsid w:val="009D40EA"/>
    <w:rsid w:val="00A3013B"/>
    <w:rsid w:val="00AE3C80"/>
    <w:rsid w:val="00CB3033"/>
    <w:rsid w:val="00E43FE7"/>
    <w:rsid w:val="00F825FF"/>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61B680"/>
  <w15:chartTrackingRefBased/>
  <w15:docId w15:val="{94BBB2C5-209A-4935-980C-62777A074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00A"/>
    <w:pPr>
      <w:ind w:firstLine="720"/>
    </w:pPr>
  </w:style>
  <w:style w:type="paragraph" w:styleId="Heading1">
    <w:name w:val="heading 1"/>
    <w:basedOn w:val="Normal"/>
    <w:next w:val="Normal"/>
    <w:link w:val="Heading1Char"/>
    <w:uiPriority w:val="9"/>
    <w:qFormat/>
    <w:rsid w:val="00E43F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3F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3F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3F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3F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3F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3F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3F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3F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3F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3F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3F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3F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3F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3F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3F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3F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3FE7"/>
    <w:rPr>
      <w:rFonts w:eastAsiaTheme="majorEastAsia" w:cstheme="majorBidi"/>
      <w:color w:val="272727" w:themeColor="text1" w:themeTint="D8"/>
    </w:rPr>
  </w:style>
  <w:style w:type="paragraph" w:styleId="Title">
    <w:name w:val="Title"/>
    <w:basedOn w:val="Normal"/>
    <w:next w:val="Normal"/>
    <w:link w:val="TitleChar"/>
    <w:uiPriority w:val="10"/>
    <w:qFormat/>
    <w:rsid w:val="00E43F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3F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3FE7"/>
    <w:pPr>
      <w:numPr>
        <w:ilvl w:val="1"/>
      </w:numPr>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3F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3FE7"/>
    <w:pPr>
      <w:spacing w:before="160"/>
      <w:jc w:val="center"/>
    </w:pPr>
    <w:rPr>
      <w:i/>
      <w:iCs/>
      <w:color w:val="404040" w:themeColor="text1" w:themeTint="BF"/>
    </w:rPr>
  </w:style>
  <w:style w:type="character" w:customStyle="1" w:styleId="QuoteChar">
    <w:name w:val="Quote Char"/>
    <w:basedOn w:val="DefaultParagraphFont"/>
    <w:link w:val="Quote"/>
    <w:uiPriority w:val="29"/>
    <w:rsid w:val="00E43FE7"/>
    <w:rPr>
      <w:i/>
      <w:iCs/>
      <w:color w:val="404040" w:themeColor="text1" w:themeTint="BF"/>
    </w:rPr>
  </w:style>
  <w:style w:type="paragraph" w:styleId="ListParagraph">
    <w:name w:val="List Paragraph"/>
    <w:basedOn w:val="Normal"/>
    <w:uiPriority w:val="34"/>
    <w:qFormat/>
    <w:rsid w:val="00E43FE7"/>
    <w:pPr>
      <w:ind w:left="720"/>
      <w:contextualSpacing/>
    </w:pPr>
  </w:style>
  <w:style w:type="character" w:styleId="IntenseEmphasis">
    <w:name w:val="Intense Emphasis"/>
    <w:basedOn w:val="DefaultParagraphFont"/>
    <w:uiPriority w:val="21"/>
    <w:qFormat/>
    <w:rsid w:val="00E43FE7"/>
    <w:rPr>
      <w:i/>
      <w:iCs/>
      <w:color w:val="0F4761" w:themeColor="accent1" w:themeShade="BF"/>
    </w:rPr>
  </w:style>
  <w:style w:type="paragraph" w:styleId="IntenseQuote">
    <w:name w:val="Intense Quote"/>
    <w:basedOn w:val="Normal"/>
    <w:next w:val="Normal"/>
    <w:link w:val="IntenseQuoteChar"/>
    <w:uiPriority w:val="30"/>
    <w:qFormat/>
    <w:rsid w:val="00E43F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3FE7"/>
    <w:rPr>
      <w:i/>
      <w:iCs/>
      <w:color w:val="0F4761" w:themeColor="accent1" w:themeShade="BF"/>
    </w:rPr>
  </w:style>
  <w:style w:type="character" w:styleId="IntenseReference">
    <w:name w:val="Intense Reference"/>
    <w:basedOn w:val="DefaultParagraphFont"/>
    <w:uiPriority w:val="32"/>
    <w:qFormat/>
    <w:rsid w:val="00E43F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fe1c5235-23fc-43dc-a60e-9ba5e777df86}" enabled="1" method="Standard" siteId="{226a070b-e0bb-4475-89ef-9ff30d6a35b3}" contentBits="0" removed="0"/>
</clbl:labelList>
</file>

<file path=docProps/app.xml><?xml version="1.0" encoding="utf-8"?>
<Properties xmlns="http://schemas.openxmlformats.org/officeDocument/2006/extended-properties" xmlns:vt="http://schemas.openxmlformats.org/officeDocument/2006/docPropsVTypes">
  <Template>Normal</Template>
  <TotalTime>63</TotalTime>
  <Pages>6</Pages>
  <Words>1021</Words>
  <Characters>6110</Characters>
  <Application>Microsoft Office Word</Application>
  <DocSecurity>0</DocSecurity>
  <Lines>127</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Abdulrahman Mudheb Saleh Albabakri</dc:creator>
  <cp:keywords/>
  <dc:description/>
  <cp:lastModifiedBy>Abdulrahman Mudheb Saleh Al Babakri (Miral Experiences)</cp:lastModifiedBy>
  <cp:revision>4</cp:revision>
  <dcterms:created xsi:type="dcterms:W3CDTF">2025-10-19T18:05:00Z</dcterms:created>
  <dcterms:modified xsi:type="dcterms:W3CDTF">2025-10-19T19:18:00Z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48709cb0-bcaf-42f4-801d-d961176992c2</vt:lpwstr>
  </property>
  <property fmtid="{D5CDD505-2E9C-101B-9397-08002B2CF9AE}" pid="3" name="MSIP_Label_fe1c5235-23fc-43dc-a60e-9ba5e777df86_Enabled">
    <vt:lpwstr>true</vt:lpwstr>
  </property>
  <property fmtid="{D5CDD505-2E9C-101B-9397-08002B2CF9AE}" pid="4" name="MSIP_Label_fe1c5235-23fc-43dc-a60e-9ba5e777df86_SetDate">
    <vt:lpwstr>2025-10-02T17:58:22Z</vt:lpwstr>
  </property>
  <property fmtid="{D5CDD505-2E9C-101B-9397-08002B2CF9AE}" pid="5" name="MSIP_Label_fe1c5235-23fc-43dc-a60e-9ba5e777df86_Method">
    <vt:lpwstr>Standard</vt:lpwstr>
  </property>
  <property fmtid="{D5CDD505-2E9C-101B-9397-08002B2CF9AE}" pid="6" name="MSIP_Label_fe1c5235-23fc-43dc-a60e-9ba5e777df86_Name">
    <vt:lpwstr>defa4170-0d19-0005-0004-bc88714345d2</vt:lpwstr>
  </property>
  <property fmtid="{D5CDD505-2E9C-101B-9397-08002B2CF9AE}" pid="7" name="MSIP_Label_fe1c5235-23fc-43dc-a60e-9ba5e777df86_SiteId">
    <vt:lpwstr>226a070b-e0bb-4475-89ef-9ff30d6a35b3</vt:lpwstr>
  </property>
  <property fmtid="{D5CDD505-2E9C-101B-9397-08002B2CF9AE}" pid="8" name="MSIP_Label_fe1c5235-23fc-43dc-a60e-9ba5e777df86_ActionId">
    <vt:lpwstr>2cc04a71-6c41-4f4a-8153-c18e82125a7e</vt:lpwstr>
  </property>
  <property fmtid="{D5CDD505-2E9C-101B-9397-08002B2CF9AE}" pid="9" name="MSIP_Label_fe1c5235-23fc-43dc-a60e-9ba5e777df86_ContentBits">
    <vt:lpwstr>0</vt:lpwstr>
  </property>
  <property fmtid="{D5CDD505-2E9C-101B-9397-08002B2CF9AE}" pid="10" name="MSIP_Label_fe1c5235-23fc-43dc-a60e-9ba5e777df86_Tag">
    <vt:lpwstr>10, 3, 0, 1</vt:lpwstr>
  </property>
</Properties>
</file>