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A0AE6" w14:textId="77777777" w:rsidR="00E43FE7" w:rsidRPr="00781C64" w:rsidRDefault="00E43FE7" w:rsidP="00E43FE7">
      <w:pPr>
        <w:spacing w:line="480" w:lineRule="auto"/>
        <w:jc w:val="center"/>
        <w:rPr>
          <w:rFonts w:ascii="Times New Roman" w:hAnsi="Times New Roman" w:cs="Times New Roman"/>
          <w:b/>
          <w:lang w:val="en-GB"/>
        </w:rPr>
      </w:pPr>
    </w:p>
    <w:p w14:paraId="5070C5C3" w14:textId="77777777" w:rsidR="00E43FE7" w:rsidRPr="00781C64" w:rsidRDefault="00E43FE7" w:rsidP="00E43FE7">
      <w:pPr>
        <w:spacing w:line="480" w:lineRule="auto"/>
        <w:jc w:val="center"/>
        <w:rPr>
          <w:rFonts w:ascii="Times New Roman" w:hAnsi="Times New Roman" w:cs="Times New Roman"/>
          <w:b/>
          <w:lang w:val="en-GB"/>
        </w:rPr>
      </w:pPr>
    </w:p>
    <w:p w14:paraId="115FAA21" w14:textId="77777777" w:rsidR="00E43FE7" w:rsidRPr="00781C64" w:rsidRDefault="00E43FE7" w:rsidP="00E43FE7">
      <w:pPr>
        <w:spacing w:line="480" w:lineRule="auto"/>
        <w:jc w:val="center"/>
        <w:rPr>
          <w:rFonts w:ascii="Times New Roman" w:hAnsi="Times New Roman" w:cs="Times New Roman"/>
          <w:b/>
          <w:lang w:val="en-GB"/>
        </w:rPr>
      </w:pPr>
    </w:p>
    <w:p w14:paraId="29AF9163" w14:textId="77777777" w:rsidR="00E43FE7" w:rsidRPr="00781C64" w:rsidRDefault="00E43FE7" w:rsidP="00466E14">
      <w:pPr>
        <w:spacing w:line="480" w:lineRule="auto"/>
        <w:ind w:firstLine="0"/>
        <w:rPr>
          <w:rFonts w:ascii="Times New Roman" w:hAnsi="Times New Roman" w:cs="Times New Roman"/>
          <w:b/>
          <w:lang w:val="en-GB"/>
        </w:rPr>
      </w:pPr>
    </w:p>
    <w:p w14:paraId="159079BD" w14:textId="23009D95" w:rsidR="00E43FE7" w:rsidRDefault="004730EC" w:rsidP="00E43FE7">
      <w:pPr>
        <w:spacing w:after="0" w:line="480" w:lineRule="auto"/>
        <w:jc w:val="center"/>
        <w:rPr>
          <w:rFonts w:ascii="Times New Roman" w:hAnsi="Times New Roman" w:cs="Times New Roman"/>
          <w:b/>
          <w:lang w:val="en-GB"/>
        </w:rPr>
      </w:pPr>
      <w:r>
        <w:rPr>
          <w:rFonts w:ascii="Times New Roman" w:hAnsi="Times New Roman" w:cs="Times New Roman"/>
          <w:b/>
          <w:lang w:val="en-GB"/>
        </w:rPr>
        <w:t>Final</w:t>
      </w:r>
      <w:r w:rsidR="00CB3033" w:rsidRPr="00CB3033">
        <w:rPr>
          <w:rFonts w:ascii="Times New Roman" w:hAnsi="Times New Roman" w:cs="Times New Roman"/>
          <w:b/>
          <w:lang w:val="en-GB"/>
        </w:rPr>
        <w:t xml:space="preserve"> </w:t>
      </w:r>
      <w:r w:rsidR="00CB3033">
        <w:rPr>
          <w:rFonts w:ascii="Times New Roman" w:hAnsi="Times New Roman" w:cs="Times New Roman"/>
          <w:b/>
          <w:lang w:val="en-GB"/>
        </w:rPr>
        <w:t>R</w:t>
      </w:r>
      <w:r w:rsidR="00CB3033" w:rsidRPr="00CB3033">
        <w:rPr>
          <w:rFonts w:ascii="Times New Roman" w:hAnsi="Times New Roman" w:cs="Times New Roman"/>
          <w:b/>
          <w:lang w:val="en-GB"/>
        </w:rPr>
        <w:t xml:space="preserve">eflective </w:t>
      </w:r>
      <w:r w:rsidR="00CB3033">
        <w:rPr>
          <w:rFonts w:ascii="Times New Roman" w:hAnsi="Times New Roman" w:cs="Times New Roman"/>
          <w:b/>
          <w:lang w:val="en-GB"/>
        </w:rPr>
        <w:t>J</w:t>
      </w:r>
      <w:r w:rsidR="00CB3033" w:rsidRPr="00CB3033">
        <w:rPr>
          <w:rFonts w:ascii="Times New Roman" w:hAnsi="Times New Roman" w:cs="Times New Roman"/>
          <w:b/>
          <w:lang w:val="en-GB"/>
        </w:rPr>
        <w:t xml:space="preserve">ournal </w:t>
      </w:r>
      <w:r w:rsidR="00CB3033">
        <w:rPr>
          <w:rFonts w:ascii="Times New Roman" w:hAnsi="Times New Roman" w:cs="Times New Roman"/>
          <w:b/>
          <w:lang w:val="en-GB"/>
        </w:rPr>
        <w:t>E</w:t>
      </w:r>
      <w:r w:rsidR="00CB3033" w:rsidRPr="00CB3033">
        <w:rPr>
          <w:rFonts w:ascii="Times New Roman" w:hAnsi="Times New Roman" w:cs="Times New Roman"/>
          <w:b/>
          <w:lang w:val="en-GB"/>
        </w:rPr>
        <w:t>ntry</w:t>
      </w:r>
    </w:p>
    <w:p w14:paraId="2E635E6B" w14:textId="77777777" w:rsidR="00CB3033" w:rsidRDefault="00CB3033" w:rsidP="00E43FE7">
      <w:pPr>
        <w:spacing w:after="0" w:line="480" w:lineRule="auto"/>
        <w:jc w:val="center"/>
        <w:rPr>
          <w:rFonts w:ascii="Times New Roman" w:hAnsi="Times New Roman" w:cs="Times New Roman"/>
          <w:b/>
          <w:lang w:val="en-GB"/>
        </w:rPr>
      </w:pPr>
    </w:p>
    <w:p w14:paraId="3385BCE1" w14:textId="77777777" w:rsidR="00466E14" w:rsidRPr="00781C64" w:rsidRDefault="00466E14" w:rsidP="00E43FE7">
      <w:pPr>
        <w:spacing w:after="0" w:line="480" w:lineRule="auto"/>
        <w:jc w:val="center"/>
        <w:rPr>
          <w:rFonts w:ascii="Times New Roman" w:hAnsi="Times New Roman" w:cs="Times New Roman"/>
          <w:b/>
          <w:lang w:val="en-GB"/>
        </w:rPr>
      </w:pPr>
    </w:p>
    <w:p w14:paraId="629B0553" w14:textId="77777777" w:rsidR="00E43FE7" w:rsidRDefault="00E43FE7" w:rsidP="00E43FE7">
      <w:pPr>
        <w:spacing w:after="0" w:line="480" w:lineRule="auto"/>
        <w:jc w:val="center"/>
        <w:rPr>
          <w:rFonts w:ascii="Times New Roman" w:hAnsi="Times New Roman" w:cs="Times New Roman"/>
          <w:lang w:val="en-GB"/>
        </w:rPr>
      </w:pPr>
      <w:r>
        <w:rPr>
          <w:rFonts w:ascii="Times New Roman" w:hAnsi="Times New Roman" w:cs="Times New Roman"/>
          <w:lang w:val="en-GB"/>
        </w:rPr>
        <w:t>Abdulrahman Albabakri, 025302</w:t>
      </w:r>
    </w:p>
    <w:p w14:paraId="70282DCC" w14:textId="77777777" w:rsidR="00E43FE7" w:rsidRPr="00781C64" w:rsidRDefault="00E43FE7" w:rsidP="00E43FE7">
      <w:pPr>
        <w:spacing w:after="0" w:line="480" w:lineRule="auto"/>
        <w:jc w:val="center"/>
        <w:rPr>
          <w:rFonts w:ascii="Times New Roman" w:hAnsi="Times New Roman" w:cs="Times New Roman"/>
          <w:lang w:val="en-GB"/>
        </w:rPr>
      </w:pPr>
      <w:r w:rsidRPr="00A45058">
        <w:rPr>
          <w:rFonts w:ascii="Times New Roman" w:hAnsi="Times New Roman" w:cs="Times New Roman"/>
          <w:lang w:val="en-GB"/>
        </w:rPr>
        <w:t>Emirates College for Advanced Education</w:t>
      </w:r>
    </w:p>
    <w:p w14:paraId="4E52C8BD" w14:textId="77777777" w:rsidR="00CB3033" w:rsidRDefault="00CB3033" w:rsidP="00E43FE7">
      <w:pPr>
        <w:spacing w:after="0" w:line="480" w:lineRule="auto"/>
        <w:jc w:val="center"/>
        <w:rPr>
          <w:rFonts w:ascii="Times New Roman" w:hAnsi="Times New Roman" w:cs="Times New Roman"/>
          <w:lang w:val="en-GB"/>
        </w:rPr>
      </w:pPr>
      <w:r w:rsidRPr="00CB3033">
        <w:rPr>
          <w:rFonts w:ascii="Times New Roman" w:hAnsi="Times New Roman" w:cs="Times New Roman"/>
          <w:lang w:val="en-GB"/>
        </w:rPr>
        <w:t>2025_TermOne-EDUSPPP1-Secondary Profession-P01</w:t>
      </w:r>
    </w:p>
    <w:p w14:paraId="39CB16F0" w14:textId="48E6AE87" w:rsidR="00E43FE7" w:rsidRDefault="00E43FE7" w:rsidP="00E43FE7">
      <w:pPr>
        <w:spacing w:after="0" w:line="480" w:lineRule="auto"/>
        <w:jc w:val="center"/>
        <w:rPr>
          <w:rFonts w:ascii="Times New Roman" w:hAnsi="Times New Roman" w:cs="Times New Roman"/>
          <w:lang w:val="en-GB"/>
        </w:rPr>
      </w:pPr>
      <w:r w:rsidRPr="00730BCA">
        <w:rPr>
          <w:rFonts w:ascii="Times New Roman" w:hAnsi="Times New Roman" w:cs="Times New Roman"/>
          <w:lang w:val="en-GB"/>
        </w:rPr>
        <w:t xml:space="preserve">Dr. </w:t>
      </w:r>
      <w:r w:rsidR="00CB3033" w:rsidRPr="00CB3033">
        <w:rPr>
          <w:rFonts w:ascii="Times New Roman" w:hAnsi="Times New Roman" w:cs="Times New Roman"/>
          <w:lang w:val="en-GB"/>
        </w:rPr>
        <w:t>Dean Cairns</w:t>
      </w:r>
    </w:p>
    <w:p w14:paraId="3F3BB554" w14:textId="0B382E35" w:rsidR="00E43FE7" w:rsidRPr="00781C64" w:rsidRDefault="0051644D" w:rsidP="00E43FE7">
      <w:pPr>
        <w:spacing w:after="0" w:line="480" w:lineRule="auto"/>
        <w:jc w:val="center"/>
        <w:rPr>
          <w:rFonts w:ascii="Times New Roman" w:hAnsi="Times New Roman" w:cs="Times New Roman"/>
          <w:lang w:val="en-GB"/>
        </w:rPr>
      </w:pPr>
      <w:r>
        <w:rPr>
          <w:rFonts w:ascii="Times New Roman" w:hAnsi="Times New Roman" w:cs="Times New Roman"/>
          <w:lang w:val="en-GB"/>
        </w:rPr>
        <w:t>November</w:t>
      </w:r>
      <w:r w:rsidR="00E43FE7">
        <w:rPr>
          <w:rFonts w:ascii="Times New Roman" w:hAnsi="Times New Roman" w:cs="Times New Roman"/>
          <w:lang w:val="en-GB"/>
        </w:rPr>
        <w:t xml:space="preserve"> </w:t>
      </w:r>
      <w:r>
        <w:rPr>
          <w:rFonts w:ascii="Times New Roman" w:hAnsi="Times New Roman" w:cs="Times New Roman"/>
          <w:lang w:val="en-GB"/>
        </w:rPr>
        <w:t>09</w:t>
      </w:r>
      <w:r w:rsidR="00E43FE7">
        <w:rPr>
          <w:rFonts w:ascii="Times New Roman" w:hAnsi="Times New Roman" w:cs="Times New Roman"/>
          <w:lang w:val="en-GB"/>
        </w:rPr>
        <w:t xml:space="preserve">, </w:t>
      </w:r>
      <w:r w:rsidR="00E43FE7" w:rsidRPr="00A45058">
        <w:rPr>
          <w:rFonts w:ascii="Times New Roman" w:hAnsi="Times New Roman" w:cs="Times New Roman"/>
          <w:lang w:val="en-GB"/>
        </w:rPr>
        <w:t>2025</w:t>
      </w:r>
    </w:p>
    <w:p w14:paraId="70A81D92" w14:textId="77777777" w:rsidR="00E43FE7" w:rsidRPr="00781C64" w:rsidRDefault="00E43FE7" w:rsidP="00E43FE7">
      <w:pPr>
        <w:spacing w:line="480" w:lineRule="auto"/>
        <w:jc w:val="center"/>
        <w:rPr>
          <w:rFonts w:ascii="Times New Roman" w:hAnsi="Times New Roman" w:cs="Times New Roman"/>
          <w:lang w:val="en-GB"/>
        </w:rPr>
      </w:pPr>
    </w:p>
    <w:p w14:paraId="7C8363DE" w14:textId="77777777" w:rsidR="00E43FE7" w:rsidRPr="00781C64" w:rsidRDefault="00E43FE7" w:rsidP="00E43FE7">
      <w:pPr>
        <w:spacing w:line="480" w:lineRule="auto"/>
        <w:jc w:val="center"/>
        <w:rPr>
          <w:rFonts w:ascii="Times New Roman" w:hAnsi="Times New Roman" w:cs="Times New Roman"/>
          <w:lang w:val="en-GB"/>
        </w:rPr>
      </w:pPr>
    </w:p>
    <w:p w14:paraId="579B4956" w14:textId="77777777" w:rsidR="00E43FE7" w:rsidRPr="00781C64" w:rsidRDefault="00E43FE7" w:rsidP="00E43FE7">
      <w:pPr>
        <w:spacing w:line="480" w:lineRule="auto"/>
        <w:jc w:val="center"/>
        <w:rPr>
          <w:rFonts w:ascii="Times New Roman" w:hAnsi="Times New Roman" w:cs="Times New Roman"/>
          <w:lang w:val="en-GB"/>
        </w:rPr>
      </w:pPr>
    </w:p>
    <w:p w14:paraId="7B5954A9" w14:textId="77777777" w:rsidR="00E43FE7" w:rsidRPr="00781C64" w:rsidRDefault="00E43FE7" w:rsidP="00E43FE7">
      <w:pPr>
        <w:spacing w:line="480" w:lineRule="auto"/>
        <w:jc w:val="center"/>
        <w:rPr>
          <w:rFonts w:ascii="Times New Roman" w:hAnsi="Times New Roman" w:cs="Times New Roman"/>
          <w:lang w:val="en-GB"/>
        </w:rPr>
      </w:pPr>
    </w:p>
    <w:p w14:paraId="2D11D13B" w14:textId="77777777" w:rsidR="00E43FE7" w:rsidRDefault="00E43FE7" w:rsidP="00E43FE7">
      <w:pPr>
        <w:spacing w:line="480" w:lineRule="auto"/>
        <w:jc w:val="center"/>
        <w:rPr>
          <w:rFonts w:ascii="Times New Roman" w:hAnsi="Times New Roman" w:cs="Times New Roman"/>
          <w:lang w:val="en-GB"/>
        </w:rPr>
      </w:pPr>
    </w:p>
    <w:p w14:paraId="1F948566" w14:textId="77777777" w:rsidR="00E43FE7" w:rsidRDefault="00E43FE7" w:rsidP="00E43FE7">
      <w:pPr>
        <w:spacing w:line="480" w:lineRule="auto"/>
        <w:jc w:val="center"/>
        <w:rPr>
          <w:rFonts w:ascii="Times New Roman" w:hAnsi="Times New Roman" w:cs="Times New Roman"/>
          <w:lang w:val="en-GB"/>
        </w:rPr>
      </w:pPr>
    </w:p>
    <w:p w14:paraId="1FCE600A" w14:textId="77777777" w:rsidR="00E43FE7" w:rsidRPr="00781C64" w:rsidRDefault="00E43FE7" w:rsidP="00E43FE7">
      <w:pPr>
        <w:spacing w:line="480" w:lineRule="auto"/>
        <w:jc w:val="center"/>
        <w:rPr>
          <w:rFonts w:ascii="Times New Roman" w:hAnsi="Times New Roman" w:cs="Times New Roman"/>
          <w:lang w:val="en-GB"/>
        </w:rPr>
      </w:pPr>
    </w:p>
    <w:p w14:paraId="4B472C22" w14:textId="77777777" w:rsidR="00E43FE7" w:rsidRDefault="00E43FE7" w:rsidP="00E43FE7">
      <w:pPr>
        <w:spacing w:line="480" w:lineRule="auto"/>
        <w:rPr>
          <w:rFonts w:ascii="Times New Roman" w:hAnsi="Times New Roman" w:cs="Times New Roman"/>
          <w:lang w:val="en-GB"/>
        </w:rPr>
      </w:pPr>
    </w:p>
    <w:p w14:paraId="595D3D0E" w14:textId="77777777" w:rsidR="00466E14" w:rsidRDefault="00466E14" w:rsidP="00E43FE7">
      <w:pPr>
        <w:spacing w:line="480" w:lineRule="auto"/>
        <w:rPr>
          <w:rFonts w:ascii="Times New Roman" w:hAnsi="Times New Roman" w:cs="Times New Roman"/>
          <w:lang w:val="en-GB"/>
        </w:rPr>
      </w:pPr>
    </w:p>
    <w:p w14:paraId="656429CD" w14:textId="77777777" w:rsidR="00E43FE7" w:rsidRPr="00781C64" w:rsidRDefault="00E43FE7" w:rsidP="00E43FE7">
      <w:pPr>
        <w:spacing w:line="480" w:lineRule="auto"/>
        <w:rPr>
          <w:rFonts w:ascii="Times New Roman" w:hAnsi="Times New Roman" w:cs="Times New Roman"/>
          <w:lang w:val="en-GB"/>
        </w:rPr>
      </w:pPr>
    </w:p>
    <w:p w14:paraId="4EC9CBA1" w14:textId="34C02DD2" w:rsidR="00F825FF" w:rsidRPr="00F825FF" w:rsidRDefault="000D700A" w:rsidP="000D700A">
      <w:pPr>
        <w:tabs>
          <w:tab w:val="left" w:pos="540"/>
          <w:tab w:val="center" w:pos="4513"/>
        </w:tabs>
        <w:spacing w:line="480" w:lineRule="auto"/>
        <w:jc w:val="center"/>
        <w:rPr>
          <w:rFonts w:ascii="Times New Roman" w:hAnsi="Times New Roman" w:cs="Times New Roman"/>
          <w:lang w:val="en-GB"/>
        </w:rPr>
      </w:pPr>
      <w:r w:rsidRPr="000D700A">
        <w:rPr>
          <w:rFonts w:ascii="Times New Roman" w:hAnsi="Times New Roman" w:cs="Times New Roman"/>
          <w:b/>
          <w:bCs/>
          <w:kern w:val="0"/>
          <w:lang w:val="en-GB"/>
          <w14:ligatures w14:val="none"/>
        </w:rPr>
        <w:lastRenderedPageBreak/>
        <w:t>Description</w:t>
      </w:r>
    </w:p>
    <w:p w14:paraId="1C9B24F5" w14:textId="0295CB06"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My SPPP1 placement was characterized by a series of structured observations that built to a powerful, longitudinal learning arc focused on assessment. Early in the placement, I observed my mentor, Mr. Hatem, teach several "masterclass" lessons</w:t>
      </w:r>
      <w:r>
        <w:rPr>
          <w:rFonts w:ascii="Times New Roman" w:hAnsi="Times New Roman" w:cs="Times New Roman"/>
          <w:lang w:val="en-GB"/>
        </w:rPr>
        <w:t>,</w:t>
      </w:r>
      <w:r w:rsidRPr="0051644D">
        <w:rPr>
          <w:rFonts w:ascii="Times New Roman" w:hAnsi="Times New Roman" w:cs="Times New Roman"/>
          <w:lang w:val="en-GB"/>
        </w:rPr>
        <w:t xml:space="preserve"> including a Grade 11 Chemistry lesson on ionic bonds.</w:t>
      </w:r>
      <w:r>
        <w:rPr>
          <w:rFonts w:ascii="Times New Roman" w:hAnsi="Times New Roman" w:cs="Times New Roman"/>
          <w:lang w:val="en-GB"/>
        </w:rPr>
        <w:t xml:space="preserve"> </w:t>
      </w:r>
      <w:r w:rsidRPr="0051644D">
        <w:rPr>
          <w:rFonts w:ascii="Times New Roman" w:hAnsi="Times New Roman" w:cs="Times New Roman"/>
          <w:lang w:val="en-GB"/>
        </w:rPr>
        <w:t xml:space="preserve">This lesson exemplified the "I Do, We Do, You Do" structure, a teaching strategy </w:t>
      </w:r>
      <w:r>
        <w:rPr>
          <w:rFonts w:ascii="Times New Roman" w:hAnsi="Times New Roman" w:cs="Times New Roman"/>
          <w:lang w:val="en-GB"/>
        </w:rPr>
        <w:t>in which the teacher models the task (I Do), then guides the students as they practice it</w:t>
      </w:r>
      <w:r w:rsidRPr="0051644D">
        <w:rPr>
          <w:rFonts w:ascii="Times New Roman" w:hAnsi="Times New Roman" w:cs="Times New Roman"/>
          <w:lang w:val="en-GB"/>
        </w:rPr>
        <w:t xml:space="preserve"> (We Do), and finally, the students independently apply the task (You Do). It featured clear learning objectives, bilingual vocabulary lists for EAL students, and tiered "All, Most, Some" tasks for differentiation.   </w:t>
      </w:r>
    </w:p>
    <w:p w14:paraId="06E57F15" w14:textId="77777777"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The pivotal experience, however, began in Week 8 with the analysis of a Grade 12 Advanced Biology summative assessment on Mendelian Genetics. My analysis of the assessment data revealed a stark "knowing-doing gap": students performed acceptably on knowledge-recall questions (61% success), but this dropped dramatically to 43% on application-level questions and 18% on analysis-level questions. The "issue is the transition between Knowing and Doing".   </w:t>
      </w:r>
    </w:p>
    <w:p w14:paraId="56B75157" w14:textId="609AF194" w:rsidR="00874F85"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This diagnosis led directly to the descriptive high point of my placement: Mr. Hatem's Week 9 review lesson. Using the exact data I had analysed, he began the lesson not with blame, but with transparency, projecting the class data and framing the lesson as "Learning from Our Mistakes". The lesson was not a re-lecture; it was a targeted, formative workshop where students, in mixed-ability groups, re-solved the specific, problematic dihybrid cross questions from the exam, effectively turning a summative endpoint into a formative starting point</w:t>
      </w:r>
      <w:r w:rsidR="00874F85" w:rsidRPr="00874F85">
        <w:rPr>
          <w:rFonts w:ascii="Times New Roman" w:hAnsi="Times New Roman" w:cs="Times New Roman"/>
          <w:lang w:val="en-GB"/>
        </w:rPr>
        <w:t xml:space="preserve">.   </w:t>
      </w:r>
    </w:p>
    <w:p w14:paraId="723C224B" w14:textId="77777777" w:rsidR="0051644D" w:rsidRDefault="0051644D" w:rsidP="0051644D">
      <w:pPr>
        <w:spacing w:line="480" w:lineRule="auto"/>
        <w:rPr>
          <w:rFonts w:ascii="Times New Roman" w:hAnsi="Times New Roman" w:cs="Times New Roman"/>
          <w:lang w:val="en-GB"/>
        </w:rPr>
      </w:pPr>
    </w:p>
    <w:p w14:paraId="7C87F3C5" w14:textId="77777777" w:rsidR="0051644D" w:rsidRPr="00874F85" w:rsidRDefault="0051644D" w:rsidP="0051644D">
      <w:pPr>
        <w:spacing w:line="480" w:lineRule="auto"/>
        <w:rPr>
          <w:rFonts w:ascii="Times New Roman" w:hAnsi="Times New Roman" w:cs="Times New Roman"/>
          <w:lang w:val="en-GB"/>
        </w:rPr>
      </w:pPr>
    </w:p>
    <w:p w14:paraId="51B86606" w14:textId="71D64BA3" w:rsidR="00874F85" w:rsidRPr="00874F85" w:rsidRDefault="00921AD4" w:rsidP="00921AD4">
      <w:pPr>
        <w:tabs>
          <w:tab w:val="left" w:pos="540"/>
          <w:tab w:val="center" w:pos="4513"/>
        </w:tabs>
        <w:spacing w:line="480" w:lineRule="auto"/>
        <w:jc w:val="center"/>
        <w:rPr>
          <w:rFonts w:ascii="Times New Roman" w:hAnsi="Times New Roman" w:cs="Times New Roman"/>
          <w:lang w:val="en-GB"/>
        </w:rPr>
      </w:pPr>
      <w:r w:rsidRPr="00921AD4">
        <w:rPr>
          <w:rFonts w:ascii="Times New Roman" w:hAnsi="Times New Roman" w:cs="Times New Roman"/>
          <w:b/>
          <w:bCs/>
          <w:kern w:val="0"/>
          <w:lang w:val="en-GB"/>
          <w14:ligatures w14:val="none"/>
        </w:rPr>
        <w:lastRenderedPageBreak/>
        <w:t>Evaluation</w:t>
      </w:r>
    </w:p>
    <w:p w14:paraId="66873072" w14:textId="77777777" w:rsidR="0051644D" w:rsidRPr="0051644D" w:rsidRDefault="0051644D" w:rsidP="0051644D">
      <w:pPr>
        <w:tabs>
          <w:tab w:val="left" w:pos="540"/>
          <w:tab w:val="left" w:pos="1365"/>
          <w:tab w:val="center" w:pos="4513"/>
          <w:tab w:val="center" w:pos="4873"/>
        </w:tabs>
        <w:spacing w:line="480" w:lineRule="auto"/>
        <w:rPr>
          <w:rFonts w:ascii="Times New Roman" w:hAnsi="Times New Roman" w:cs="Times New Roman"/>
          <w:lang w:val="en-GB"/>
        </w:rPr>
      </w:pPr>
      <w:r w:rsidRPr="0051644D">
        <w:rPr>
          <w:rFonts w:ascii="Times New Roman" w:hAnsi="Times New Roman" w:cs="Times New Roman"/>
          <w:lang w:val="en-GB"/>
        </w:rPr>
        <w:t>The 'assessment arc' was not just a series of lessons, but a transformative journey that showcased the power of data-driven practice. The Week 9 review lesson was a 'resounding success ', a testament to the potential of using data to drive instruction. The atmosphere was not one of remediation but of positive, focused engagement, creating what my coursework identifies as a 'need-supportive' environment.   </w:t>
      </w:r>
    </w:p>
    <w:p w14:paraId="69CCF59A" w14:textId="2E6F42AE" w:rsidR="0051644D" w:rsidRDefault="0051644D" w:rsidP="0051644D">
      <w:pPr>
        <w:tabs>
          <w:tab w:val="left" w:pos="540"/>
          <w:tab w:val="left" w:pos="1365"/>
          <w:tab w:val="center" w:pos="4513"/>
          <w:tab w:val="center" w:pos="4873"/>
        </w:tabs>
        <w:spacing w:line="480" w:lineRule="auto"/>
        <w:rPr>
          <w:rFonts w:ascii="Times New Roman" w:hAnsi="Times New Roman" w:cs="Times New Roman"/>
          <w:lang w:val="en-GB"/>
        </w:rPr>
      </w:pPr>
      <w:r w:rsidRPr="0051644D">
        <w:rPr>
          <w:rFonts w:ascii="Times New Roman" w:hAnsi="Times New Roman" w:cs="Times New Roman"/>
          <w:lang w:val="en-GB"/>
        </w:rPr>
        <w:t>However, the placement also provided a crucial "negative" evaluation that fostered critical thinking. During one Grade 11 observation, a student (Saif) fell asleep. Mr. Hatem instructed him to "go wash your face and come back," after which the student left the room and did not return. In my concurrent EDUSC2 report on this incident, I evaluated this practice critically, noting it "contrasts with the work of Levin and Nolan (2013), which states the necessity to utilize the least intrusive response that upholds student dignity". </w:t>
      </w:r>
      <w:r w:rsidR="00A46B86" w:rsidRPr="00A46B86">
        <w:rPr>
          <w:rFonts w:ascii="Times New Roman" w:hAnsi="Times New Roman" w:cs="Times New Roman"/>
          <w:lang w:val="en-GB"/>
        </w:rPr>
        <w:t xml:space="preserve">This was a much-needed moment of cognitive dissonance, which taught me that an Effective Professional </w:t>
      </w:r>
      <w:proofErr w:type="gramStart"/>
      <w:r w:rsidR="00A46B86" w:rsidRPr="00A46B86">
        <w:rPr>
          <w:rFonts w:ascii="Times New Roman" w:hAnsi="Times New Roman" w:cs="Times New Roman"/>
          <w:lang w:val="en-GB"/>
        </w:rPr>
        <w:t>has to</w:t>
      </w:r>
      <w:proofErr w:type="gramEnd"/>
      <w:r w:rsidR="00A46B86" w:rsidRPr="00A46B86">
        <w:rPr>
          <w:rFonts w:ascii="Times New Roman" w:hAnsi="Times New Roman" w:cs="Times New Roman"/>
          <w:lang w:val="en-GB"/>
        </w:rPr>
        <w:t xml:space="preserve"> critically weigh up all practices, even those of a respected mentor, against an evidence-based theoretical framework.</w:t>
      </w:r>
    </w:p>
    <w:p w14:paraId="613500E4" w14:textId="5C1341B7" w:rsidR="00874F85" w:rsidRPr="00874F85" w:rsidRDefault="00921AD4" w:rsidP="0051644D">
      <w:pPr>
        <w:tabs>
          <w:tab w:val="left" w:pos="540"/>
          <w:tab w:val="left" w:pos="1365"/>
          <w:tab w:val="center" w:pos="4513"/>
          <w:tab w:val="center" w:pos="4873"/>
        </w:tabs>
        <w:spacing w:line="480" w:lineRule="auto"/>
        <w:rPr>
          <w:rFonts w:ascii="Times New Roman" w:hAnsi="Times New Roman" w:cs="Times New Roman"/>
          <w:lang w:val="en-GB"/>
        </w:rPr>
      </w:pPr>
      <w:r>
        <w:rPr>
          <w:rFonts w:ascii="Times New Roman" w:hAnsi="Times New Roman" w:cs="Times New Roman"/>
          <w:b/>
          <w:bCs/>
          <w:kern w:val="0"/>
          <w:lang w:val="en-GB"/>
          <w14:ligatures w14:val="none"/>
        </w:rPr>
        <w:tab/>
      </w:r>
      <w:r>
        <w:rPr>
          <w:rFonts w:ascii="Times New Roman" w:hAnsi="Times New Roman" w:cs="Times New Roman"/>
          <w:b/>
          <w:bCs/>
          <w:kern w:val="0"/>
          <w:lang w:val="en-GB"/>
          <w14:ligatures w14:val="none"/>
        </w:rPr>
        <w:tab/>
      </w:r>
      <w:r w:rsidRPr="00921AD4">
        <w:rPr>
          <w:rFonts w:ascii="Times New Roman" w:hAnsi="Times New Roman" w:cs="Times New Roman"/>
          <w:b/>
          <w:bCs/>
          <w:kern w:val="0"/>
          <w:lang w:val="en-GB"/>
          <w14:ligatures w14:val="none"/>
        </w:rPr>
        <w:t>Analysis</w:t>
      </w:r>
    </w:p>
    <w:p w14:paraId="3EA6CEC6" w14:textId="77777777"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My analysis of these events, informed by my concurrent courses, reveals a deep synthesis of theory and practice. The "assessment arc" (Weeks 7-9) is a perfect, real-world illustration of the "symbiotic relationship between summative and formative assessment". Mr. Hatem repurposed summative data to fuel a formative process, aligning with the principle that assessment evidence can be "re-interpreted to serve different purposes" (Dolin et al., 2018). The entire sequence was a "live enactment of the formative assessment cycle" (Black &amp; Wiliam, 1998).   </w:t>
      </w:r>
    </w:p>
    <w:p w14:paraId="20575507" w14:textId="05715F20"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lastRenderedPageBreak/>
        <w:t xml:space="preserve">The success of Mr. Hatem's "I Do, We Do, You Do" structure and the use of structured peer tutoring are direct applications of Vygotsky's (1978) social constructivist theory. The collaborative "We Do" phase and the peer groups served as scaffolded practice within the Zone of Proximal Development (ZPD), a concept in Vygotsky's theory that refers to the range of tasks that a student can perform with the help and guidance of others but cannot yet perform independently. This </w:t>
      </w:r>
      <w:r>
        <w:rPr>
          <w:rFonts w:ascii="Times New Roman" w:hAnsi="Times New Roman" w:cs="Times New Roman"/>
          <w:lang w:val="en-GB"/>
        </w:rPr>
        <w:t>decentralized</w:t>
      </w:r>
      <w:r w:rsidRPr="0051644D">
        <w:rPr>
          <w:rFonts w:ascii="Times New Roman" w:hAnsi="Times New Roman" w:cs="Times New Roman"/>
          <w:lang w:val="en-GB"/>
        </w:rPr>
        <w:t xml:space="preserve"> the classroom and empowered students to 'effectively scaffold each other's learning'.   </w:t>
      </w:r>
    </w:p>
    <w:p w14:paraId="5165B1E0" w14:textId="77777777"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 xml:space="preserve">The effectiveness of the differentiated Ionic Bonds lesson is explained by Tomlinson's (2014) model, which was enacted through tiered content, process, and product. Furthermore, the remarkable engagement in the Week 9 review was not accidental; it was a direct result of fostering autonomous motivation, as explained by Self-Determination Theory. The lesson supported competence (by emphasizing growth), relatedness (through group work), and autonomy (by giving groups ownership of a problem), as described by </w:t>
      </w:r>
      <w:proofErr w:type="spellStart"/>
      <w:r w:rsidRPr="0051644D">
        <w:rPr>
          <w:rFonts w:ascii="Times New Roman" w:hAnsi="Times New Roman" w:cs="Times New Roman"/>
          <w:lang w:val="en-GB"/>
        </w:rPr>
        <w:t>Leenknecht</w:t>
      </w:r>
      <w:proofErr w:type="spellEnd"/>
      <w:r w:rsidRPr="0051644D">
        <w:rPr>
          <w:rFonts w:ascii="Times New Roman" w:hAnsi="Times New Roman" w:cs="Times New Roman"/>
          <w:lang w:val="en-GB"/>
        </w:rPr>
        <w:t xml:space="preserve"> et al. (2021).   </w:t>
      </w:r>
    </w:p>
    <w:p w14:paraId="72996B99" w14:textId="70B01E60" w:rsidR="00874F85" w:rsidRPr="00874F85"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Finally, Mr. Hatem's use of UAE-specific examples, such as camels and falcons, during the Selective Breeding lesson provided a crucial point of analysis. It validated my own teaching philosophy by demonstrating a practical application of Gay's (2018) culturally responsive teaching, proving that an evidence-based pedagogy can—and must—be integrated with and respect the students' cultural heritage</w:t>
      </w:r>
      <w:r w:rsidR="00921AD4" w:rsidRPr="00921AD4">
        <w:rPr>
          <w:rFonts w:ascii="Times New Roman" w:hAnsi="Times New Roman" w:cs="Times New Roman"/>
          <w:lang w:val="en-GB"/>
        </w:rPr>
        <w:t xml:space="preserve">. </w:t>
      </w:r>
      <w:r w:rsidR="00874F85" w:rsidRPr="00874F85">
        <w:rPr>
          <w:rFonts w:ascii="Times New Roman" w:hAnsi="Times New Roman" w:cs="Times New Roman"/>
          <w:lang w:val="en-GB"/>
        </w:rPr>
        <w:t xml:space="preserve">   </w:t>
      </w:r>
    </w:p>
    <w:p w14:paraId="02C1B004" w14:textId="39670E05" w:rsidR="00874F85" w:rsidRPr="00874F85" w:rsidRDefault="00921AD4" w:rsidP="00921AD4">
      <w:pPr>
        <w:tabs>
          <w:tab w:val="left" w:pos="540"/>
          <w:tab w:val="left" w:pos="1365"/>
          <w:tab w:val="center" w:pos="4513"/>
          <w:tab w:val="center" w:pos="4873"/>
        </w:tabs>
        <w:spacing w:line="480" w:lineRule="auto"/>
        <w:jc w:val="center"/>
        <w:rPr>
          <w:rFonts w:ascii="Times New Roman" w:hAnsi="Times New Roman" w:cs="Times New Roman"/>
          <w:lang w:val="en-GB"/>
        </w:rPr>
      </w:pPr>
      <w:r w:rsidRPr="00921AD4">
        <w:rPr>
          <w:rFonts w:ascii="Times New Roman" w:hAnsi="Times New Roman" w:cs="Times New Roman"/>
          <w:b/>
          <w:bCs/>
          <w:kern w:val="0"/>
          <w:lang w:val="en-GB"/>
          <w14:ligatures w14:val="none"/>
        </w:rPr>
        <w:t>Conclusion</w:t>
      </w:r>
    </w:p>
    <w:p w14:paraId="167CDE2A" w14:textId="77777777"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 xml:space="preserve">This entire SPPP1 experience has solidified my professional growth plan, moving me from a passive observer to an active analyst prepared for practice. My future actions will be built upon the key principles I have observed and </w:t>
      </w:r>
      <w:proofErr w:type="spellStart"/>
      <w:r w:rsidRPr="0051644D">
        <w:rPr>
          <w:rFonts w:ascii="Times New Roman" w:hAnsi="Times New Roman" w:cs="Times New Roman"/>
          <w:lang w:val="en-GB"/>
        </w:rPr>
        <w:t>analyzed</w:t>
      </w:r>
      <w:proofErr w:type="spellEnd"/>
      <w:r w:rsidRPr="0051644D">
        <w:rPr>
          <w:rFonts w:ascii="Times New Roman" w:hAnsi="Times New Roman" w:cs="Times New Roman"/>
          <w:lang w:val="en-GB"/>
        </w:rPr>
        <w:t>.</w:t>
      </w:r>
    </w:p>
    <w:p w14:paraId="4F63AA47" w14:textId="77777777"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lastRenderedPageBreak/>
        <w:t>First, I will make the "assessment arc" the cornerstone of my practice. I will actively use summative data as a diagnostic starting point and "intentionally design review lessons that normalize and study common student errors," creating an atmosphere where mistakes are opportunities.   </w:t>
      </w:r>
    </w:p>
    <w:p w14:paraId="3D884866" w14:textId="77777777"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 xml:space="preserve">Second, I will adopt the "I Do, We Do, You Do" framework and Active Student Response (ASR) strategies, such as </w:t>
      </w:r>
      <w:proofErr w:type="gramStart"/>
      <w:r w:rsidRPr="0051644D">
        <w:rPr>
          <w:rFonts w:ascii="Times New Roman" w:hAnsi="Times New Roman" w:cs="Times New Roman"/>
          <w:lang w:val="en-GB"/>
        </w:rPr>
        <w:t>mini-whiteboards</w:t>
      </w:r>
      <w:proofErr w:type="gramEnd"/>
      <w:r w:rsidRPr="0051644D">
        <w:rPr>
          <w:rFonts w:ascii="Times New Roman" w:hAnsi="Times New Roman" w:cs="Times New Roman"/>
          <w:lang w:val="en-GB"/>
        </w:rPr>
        <w:t>, to "enable complete participation and gather immediate, actionable data".   </w:t>
      </w:r>
    </w:p>
    <w:p w14:paraId="304E4C65" w14:textId="35663640" w:rsidR="0051644D" w:rsidRPr="0051644D"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 xml:space="preserve">Third, I will stress the "co-construction of success criteria", as </w:t>
      </w:r>
      <w:proofErr w:type="spellStart"/>
      <w:r w:rsidRPr="0051644D">
        <w:rPr>
          <w:rFonts w:ascii="Times New Roman" w:hAnsi="Times New Roman" w:cs="Times New Roman"/>
          <w:lang w:val="en-GB"/>
        </w:rPr>
        <w:t>modeled</w:t>
      </w:r>
      <w:proofErr w:type="spellEnd"/>
      <w:r w:rsidRPr="0051644D">
        <w:rPr>
          <w:rFonts w:ascii="Times New Roman" w:hAnsi="Times New Roman" w:cs="Times New Roman"/>
          <w:lang w:val="en-GB"/>
        </w:rPr>
        <w:t xml:space="preserve"> by Mr. Hatem before the genetics test, to empower students by making assessment transparent, a strategy championed by Clarke (2021).   </w:t>
      </w:r>
    </w:p>
    <w:p w14:paraId="4180FC25" w14:textId="46D58247" w:rsidR="00921AD4" w:rsidRDefault="0051644D" w:rsidP="0051644D">
      <w:pPr>
        <w:spacing w:line="480" w:lineRule="auto"/>
        <w:rPr>
          <w:rFonts w:ascii="Times New Roman" w:hAnsi="Times New Roman" w:cs="Times New Roman"/>
          <w:lang w:val="en-GB"/>
        </w:rPr>
      </w:pPr>
      <w:r w:rsidRPr="0051644D">
        <w:rPr>
          <w:rFonts w:ascii="Times New Roman" w:hAnsi="Times New Roman" w:cs="Times New Roman"/>
          <w:lang w:val="en-GB"/>
        </w:rPr>
        <w:t>Finally, I will practice diagnostic, probing questioning to make student thinking visible and will consciously integrate culturally responsive examples to ensure my classroom is inclusive, respectful, and, ultimately, effective. SPPP1 has provided me with a robust, evidence-based, and data-driven model of an Effective Professional, and my growth plan is to enact it. </w:t>
      </w:r>
    </w:p>
    <w:p w14:paraId="76327FA6" w14:textId="77777777" w:rsidR="0051644D" w:rsidRDefault="0051644D" w:rsidP="0051644D">
      <w:pPr>
        <w:spacing w:line="480" w:lineRule="auto"/>
        <w:rPr>
          <w:rFonts w:ascii="Times New Roman" w:hAnsi="Times New Roman" w:cs="Times New Roman"/>
          <w:lang w:val="en-GB"/>
        </w:rPr>
      </w:pPr>
    </w:p>
    <w:p w14:paraId="6E93EF00" w14:textId="77777777" w:rsidR="0051644D" w:rsidRDefault="0051644D" w:rsidP="0051644D">
      <w:pPr>
        <w:spacing w:line="480" w:lineRule="auto"/>
        <w:rPr>
          <w:rFonts w:ascii="Times New Roman" w:hAnsi="Times New Roman" w:cs="Times New Roman"/>
          <w:lang w:val="en-GB"/>
        </w:rPr>
      </w:pPr>
    </w:p>
    <w:p w14:paraId="36A6AC3A" w14:textId="77777777" w:rsidR="0051644D" w:rsidRDefault="0051644D" w:rsidP="0051644D">
      <w:pPr>
        <w:spacing w:line="480" w:lineRule="auto"/>
        <w:rPr>
          <w:rFonts w:ascii="Times New Roman" w:hAnsi="Times New Roman" w:cs="Times New Roman"/>
          <w:lang w:val="en-GB"/>
        </w:rPr>
      </w:pPr>
    </w:p>
    <w:p w14:paraId="6F68FE07" w14:textId="77777777" w:rsidR="0051644D" w:rsidRDefault="0051644D" w:rsidP="0051644D">
      <w:pPr>
        <w:spacing w:line="480" w:lineRule="auto"/>
        <w:rPr>
          <w:rFonts w:ascii="Times New Roman" w:hAnsi="Times New Roman" w:cs="Times New Roman"/>
          <w:lang w:val="en-GB"/>
        </w:rPr>
      </w:pPr>
    </w:p>
    <w:p w14:paraId="6851720E" w14:textId="77777777" w:rsidR="007716B0" w:rsidRDefault="007716B0" w:rsidP="00874F85">
      <w:pPr>
        <w:spacing w:line="480" w:lineRule="auto"/>
        <w:rPr>
          <w:rFonts w:ascii="Times New Roman" w:hAnsi="Times New Roman" w:cs="Times New Roman"/>
          <w:lang w:val="en-GB"/>
        </w:rPr>
      </w:pPr>
    </w:p>
    <w:p w14:paraId="439A68BD" w14:textId="77777777" w:rsidR="007716B0" w:rsidRDefault="007716B0" w:rsidP="00874F85">
      <w:pPr>
        <w:spacing w:line="480" w:lineRule="auto"/>
        <w:rPr>
          <w:rFonts w:ascii="Times New Roman" w:hAnsi="Times New Roman" w:cs="Times New Roman"/>
          <w:lang w:val="en-GB"/>
        </w:rPr>
      </w:pPr>
    </w:p>
    <w:p w14:paraId="49692249" w14:textId="77777777" w:rsidR="00921AD4" w:rsidRPr="00874F85" w:rsidRDefault="00921AD4" w:rsidP="00B736FD">
      <w:pPr>
        <w:spacing w:line="480" w:lineRule="auto"/>
        <w:ind w:firstLine="0"/>
        <w:rPr>
          <w:rFonts w:ascii="Times New Roman" w:hAnsi="Times New Roman" w:cs="Times New Roman"/>
          <w:lang w:val="en-GB"/>
        </w:rPr>
      </w:pPr>
    </w:p>
    <w:p w14:paraId="5E0AD316" w14:textId="4ADA3E74" w:rsidR="007716B0" w:rsidRPr="007716B0" w:rsidRDefault="00874F85" w:rsidP="007716B0">
      <w:pPr>
        <w:tabs>
          <w:tab w:val="left" w:pos="540"/>
          <w:tab w:val="left" w:pos="1365"/>
          <w:tab w:val="center" w:pos="4513"/>
          <w:tab w:val="center" w:pos="4873"/>
        </w:tabs>
        <w:spacing w:line="480" w:lineRule="auto"/>
        <w:jc w:val="center"/>
        <w:rPr>
          <w:rFonts w:ascii="Times New Roman" w:hAnsi="Times New Roman" w:cs="Times New Roman"/>
          <w:lang w:val="en-GB"/>
        </w:rPr>
      </w:pPr>
      <w:r w:rsidRPr="00921AD4">
        <w:rPr>
          <w:rFonts w:ascii="Times New Roman" w:hAnsi="Times New Roman" w:cs="Times New Roman"/>
          <w:b/>
          <w:bCs/>
          <w:kern w:val="0"/>
          <w:lang w:val="en-GB"/>
          <w14:ligatures w14:val="none"/>
        </w:rPr>
        <w:lastRenderedPageBreak/>
        <w:t>References</w:t>
      </w:r>
    </w:p>
    <w:p w14:paraId="1957610D" w14:textId="77777777" w:rsidR="0051644D" w:rsidRPr="0051644D" w:rsidRDefault="0051644D" w:rsidP="0051644D">
      <w:pPr>
        <w:spacing w:line="480" w:lineRule="auto"/>
        <w:ind w:left="720" w:hanging="720"/>
        <w:rPr>
          <w:rFonts w:ascii="Times New Roman" w:hAnsi="Times New Roman" w:cs="Times New Roman"/>
          <w:kern w:val="0"/>
          <w:lang w:val="en-GB"/>
          <w14:ligatures w14:val="none"/>
        </w:rPr>
      </w:pPr>
      <w:r w:rsidRPr="0051644D">
        <w:rPr>
          <w:rFonts w:ascii="Times New Roman" w:hAnsi="Times New Roman" w:cs="Times New Roman"/>
          <w:kern w:val="0"/>
          <w:lang w:val="en-GB"/>
          <w14:ligatures w14:val="none"/>
        </w:rPr>
        <w:t xml:space="preserve">Black, P., &amp; Wiliam, D. (1998). </w:t>
      </w:r>
      <w:r w:rsidRPr="004730EC">
        <w:rPr>
          <w:rFonts w:ascii="Times New Roman" w:hAnsi="Times New Roman" w:cs="Times New Roman"/>
          <w:i/>
          <w:iCs/>
          <w:kern w:val="0"/>
          <w:lang w:val="en-GB"/>
          <w14:ligatures w14:val="none"/>
        </w:rPr>
        <w:t xml:space="preserve">Inside the black box: Raising standards through classroom assessment. Phi Delta </w:t>
      </w:r>
      <w:proofErr w:type="spellStart"/>
      <w:r w:rsidRPr="004730EC">
        <w:rPr>
          <w:rFonts w:ascii="Times New Roman" w:hAnsi="Times New Roman" w:cs="Times New Roman"/>
          <w:i/>
          <w:iCs/>
          <w:kern w:val="0"/>
          <w:lang w:val="en-GB"/>
          <w14:ligatures w14:val="none"/>
        </w:rPr>
        <w:t>Kappan</w:t>
      </w:r>
      <w:proofErr w:type="spellEnd"/>
      <w:r w:rsidRPr="004730EC">
        <w:rPr>
          <w:rFonts w:ascii="Times New Roman" w:hAnsi="Times New Roman" w:cs="Times New Roman"/>
          <w:i/>
          <w:iCs/>
          <w:kern w:val="0"/>
          <w:lang w:val="en-GB"/>
          <w14:ligatures w14:val="none"/>
        </w:rPr>
        <w:t>, 80</w:t>
      </w:r>
      <w:r w:rsidRPr="0051644D">
        <w:rPr>
          <w:rFonts w:ascii="Times New Roman" w:hAnsi="Times New Roman" w:cs="Times New Roman"/>
          <w:kern w:val="0"/>
          <w:lang w:val="en-GB"/>
          <w14:ligatures w14:val="none"/>
        </w:rPr>
        <w:t>(2), 139–148.</w:t>
      </w:r>
    </w:p>
    <w:p w14:paraId="528D215F" w14:textId="77777777" w:rsidR="0051644D" w:rsidRPr="0051644D" w:rsidRDefault="0051644D" w:rsidP="0051644D">
      <w:pPr>
        <w:spacing w:line="480" w:lineRule="auto"/>
        <w:ind w:left="720" w:hanging="720"/>
        <w:rPr>
          <w:rFonts w:ascii="Times New Roman" w:hAnsi="Times New Roman" w:cs="Times New Roman"/>
          <w:kern w:val="0"/>
          <w:lang w:val="en-GB"/>
          <w14:ligatures w14:val="none"/>
        </w:rPr>
      </w:pPr>
      <w:r w:rsidRPr="0051644D">
        <w:rPr>
          <w:rFonts w:ascii="Times New Roman" w:hAnsi="Times New Roman" w:cs="Times New Roman"/>
          <w:kern w:val="0"/>
          <w:lang w:val="en-GB"/>
          <w14:ligatures w14:val="none"/>
        </w:rPr>
        <w:t xml:space="preserve">Clarke, S. (2021). Unlocking learning intentions and success criteria: </w:t>
      </w:r>
      <w:r w:rsidRPr="004730EC">
        <w:rPr>
          <w:rFonts w:ascii="Times New Roman" w:hAnsi="Times New Roman" w:cs="Times New Roman"/>
          <w:i/>
          <w:iCs/>
          <w:kern w:val="0"/>
          <w:lang w:val="en-GB"/>
          <w14:ligatures w14:val="none"/>
        </w:rPr>
        <w:t xml:space="preserve">Shifting from product to process across the disciplines. </w:t>
      </w:r>
      <w:r w:rsidRPr="0051644D">
        <w:rPr>
          <w:rFonts w:ascii="Times New Roman" w:hAnsi="Times New Roman" w:cs="Times New Roman"/>
          <w:kern w:val="0"/>
          <w:lang w:val="en-GB"/>
          <w14:ligatures w14:val="none"/>
        </w:rPr>
        <w:t>Corwin Press.</w:t>
      </w:r>
    </w:p>
    <w:p w14:paraId="0B462197" w14:textId="77777777" w:rsidR="0051644D" w:rsidRPr="0051644D" w:rsidRDefault="0051644D" w:rsidP="0051644D">
      <w:pPr>
        <w:spacing w:line="480" w:lineRule="auto"/>
        <w:ind w:left="720" w:hanging="720"/>
        <w:rPr>
          <w:rFonts w:ascii="Times New Roman" w:hAnsi="Times New Roman" w:cs="Times New Roman"/>
          <w:kern w:val="0"/>
          <w:lang w:val="en-GB"/>
          <w14:ligatures w14:val="none"/>
        </w:rPr>
      </w:pPr>
      <w:r w:rsidRPr="0051644D">
        <w:rPr>
          <w:rFonts w:ascii="Times New Roman" w:hAnsi="Times New Roman" w:cs="Times New Roman"/>
          <w:kern w:val="0"/>
          <w:lang w:val="en-GB"/>
          <w14:ligatures w14:val="none"/>
        </w:rPr>
        <w:t xml:space="preserve">Dolin, J., Black, P., Harlen, W., &amp; </w:t>
      </w:r>
      <w:proofErr w:type="spellStart"/>
      <w:r w:rsidRPr="0051644D">
        <w:rPr>
          <w:rFonts w:ascii="Times New Roman" w:hAnsi="Times New Roman" w:cs="Times New Roman"/>
          <w:kern w:val="0"/>
          <w:lang w:val="en-GB"/>
          <w14:ligatures w14:val="none"/>
        </w:rPr>
        <w:t>Tiberghien</w:t>
      </w:r>
      <w:proofErr w:type="spellEnd"/>
      <w:r w:rsidRPr="0051644D">
        <w:rPr>
          <w:rFonts w:ascii="Times New Roman" w:hAnsi="Times New Roman" w:cs="Times New Roman"/>
          <w:kern w:val="0"/>
          <w:lang w:val="en-GB"/>
          <w14:ligatures w14:val="none"/>
        </w:rPr>
        <w:t>, A. (2018). Exploring relations between formative and summative assessment. In J. Dolin &amp; R. Evans (Eds.), </w:t>
      </w:r>
      <w:r w:rsidRPr="004730EC">
        <w:rPr>
          <w:rFonts w:ascii="Times New Roman" w:hAnsi="Times New Roman" w:cs="Times New Roman"/>
          <w:i/>
          <w:iCs/>
          <w:kern w:val="0"/>
          <w:lang w:val="en-GB"/>
          <w14:ligatures w14:val="none"/>
        </w:rPr>
        <w:t>Transforming assessment: Through an interplay between practice, research and policy</w:t>
      </w:r>
      <w:r w:rsidRPr="0051644D">
        <w:rPr>
          <w:rFonts w:ascii="Times New Roman" w:hAnsi="Times New Roman" w:cs="Times New Roman"/>
          <w:kern w:val="0"/>
          <w:lang w:val="en-GB"/>
          <w14:ligatures w14:val="none"/>
        </w:rPr>
        <w:t> (pp. 53–80). Springer.</w:t>
      </w:r>
    </w:p>
    <w:p w14:paraId="6B7B72E2" w14:textId="77777777" w:rsidR="0051644D" w:rsidRPr="0051644D" w:rsidRDefault="0051644D" w:rsidP="0051644D">
      <w:pPr>
        <w:spacing w:line="480" w:lineRule="auto"/>
        <w:ind w:left="720" w:hanging="720"/>
        <w:rPr>
          <w:rFonts w:ascii="Times New Roman" w:hAnsi="Times New Roman" w:cs="Times New Roman"/>
          <w:kern w:val="0"/>
          <w:lang w:val="en-GB"/>
          <w14:ligatures w14:val="none"/>
        </w:rPr>
      </w:pPr>
      <w:r w:rsidRPr="0051644D">
        <w:rPr>
          <w:rFonts w:ascii="Times New Roman" w:hAnsi="Times New Roman" w:cs="Times New Roman"/>
          <w:kern w:val="0"/>
          <w:lang w:val="en-GB"/>
          <w14:ligatures w14:val="none"/>
        </w:rPr>
        <w:t xml:space="preserve">Gay, G. (2018). Culturally responsive teaching: </w:t>
      </w:r>
      <w:r w:rsidRPr="004730EC">
        <w:rPr>
          <w:rFonts w:ascii="Times New Roman" w:hAnsi="Times New Roman" w:cs="Times New Roman"/>
          <w:i/>
          <w:iCs/>
          <w:kern w:val="0"/>
          <w:lang w:val="en-GB"/>
          <w14:ligatures w14:val="none"/>
        </w:rPr>
        <w:t>Theory, research, and practice (3rd ed.). Teachers College Press.</w:t>
      </w:r>
    </w:p>
    <w:p w14:paraId="66C5E37B" w14:textId="77777777" w:rsidR="0051644D" w:rsidRPr="0051644D" w:rsidRDefault="0051644D" w:rsidP="0051644D">
      <w:pPr>
        <w:spacing w:line="480" w:lineRule="auto"/>
        <w:ind w:left="720" w:hanging="720"/>
        <w:rPr>
          <w:rFonts w:ascii="Times New Roman" w:hAnsi="Times New Roman" w:cs="Times New Roman"/>
          <w:kern w:val="0"/>
          <w:lang w:val="en-GB"/>
          <w14:ligatures w14:val="none"/>
        </w:rPr>
      </w:pPr>
      <w:proofErr w:type="spellStart"/>
      <w:r w:rsidRPr="0051644D">
        <w:rPr>
          <w:rFonts w:ascii="Times New Roman" w:hAnsi="Times New Roman" w:cs="Times New Roman"/>
          <w:kern w:val="0"/>
          <w:lang w:val="en-GB"/>
          <w14:ligatures w14:val="none"/>
        </w:rPr>
        <w:t>Leenknecht</w:t>
      </w:r>
      <w:proofErr w:type="spellEnd"/>
      <w:r w:rsidRPr="0051644D">
        <w:rPr>
          <w:rFonts w:ascii="Times New Roman" w:hAnsi="Times New Roman" w:cs="Times New Roman"/>
          <w:kern w:val="0"/>
          <w:lang w:val="en-GB"/>
          <w14:ligatures w14:val="none"/>
        </w:rPr>
        <w:t xml:space="preserve">, M., Wijnia, L., </w:t>
      </w:r>
      <w:proofErr w:type="spellStart"/>
      <w:r w:rsidRPr="0051644D">
        <w:rPr>
          <w:rFonts w:ascii="Times New Roman" w:hAnsi="Times New Roman" w:cs="Times New Roman"/>
          <w:kern w:val="0"/>
          <w:lang w:val="en-GB"/>
          <w14:ligatures w14:val="none"/>
        </w:rPr>
        <w:t>Köhlen</w:t>
      </w:r>
      <w:proofErr w:type="spellEnd"/>
      <w:r w:rsidRPr="0051644D">
        <w:rPr>
          <w:rFonts w:ascii="Times New Roman" w:hAnsi="Times New Roman" w:cs="Times New Roman"/>
          <w:kern w:val="0"/>
          <w:lang w:val="en-GB"/>
          <w14:ligatures w14:val="none"/>
        </w:rPr>
        <w:t xml:space="preserve">, M., Fryer, L., Rikers, R., &amp; </w:t>
      </w:r>
      <w:proofErr w:type="spellStart"/>
      <w:r w:rsidRPr="0051644D">
        <w:rPr>
          <w:rFonts w:ascii="Times New Roman" w:hAnsi="Times New Roman" w:cs="Times New Roman"/>
          <w:kern w:val="0"/>
          <w:lang w:val="en-GB"/>
          <w14:ligatures w14:val="none"/>
        </w:rPr>
        <w:t>Loyens</w:t>
      </w:r>
      <w:proofErr w:type="spellEnd"/>
      <w:r w:rsidRPr="0051644D">
        <w:rPr>
          <w:rFonts w:ascii="Times New Roman" w:hAnsi="Times New Roman" w:cs="Times New Roman"/>
          <w:kern w:val="0"/>
          <w:lang w:val="en-GB"/>
          <w14:ligatures w14:val="none"/>
        </w:rPr>
        <w:t xml:space="preserve">, S. (2021). Formative assessment as practice: </w:t>
      </w:r>
      <w:r w:rsidRPr="004730EC">
        <w:rPr>
          <w:rFonts w:ascii="Times New Roman" w:hAnsi="Times New Roman" w:cs="Times New Roman"/>
          <w:i/>
          <w:iCs/>
          <w:kern w:val="0"/>
          <w:lang w:val="en-GB"/>
          <w14:ligatures w14:val="none"/>
        </w:rPr>
        <w:t>The role of students' motivation. Assessment &amp; Evaluation in Higher Education, 46</w:t>
      </w:r>
      <w:r w:rsidRPr="0051644D">
        <w:rPr>
          <w:rFonts w:ascii="Times New Roman" w:hAnsi="Times New Roman" w:cs="Times New Roman"/>
          <w:kern w:val="0"/>
          <w:lang w:val="en-GB"/>
          <w14:ligatures w14:val="none"/>
        </w:rPr>
        <w:t>(2), 236–255. </w:t>
      </w:r>
      <w:r w:rsidRPr="004730EC">
        <w:rPr>
          <w:rFonts w:ascii="Times New Roman" w:hAnsi="Times New Roman" w:cs="Times New Roman"/>
          <w:color w:val="4C94D8" w:themeColor="text2" w:themeTint="80"/>
          <w:kern w:val="0"/>
          <w:lang w:val="en-GB"/>
          <w14:ligatures w14:val="none"/>
        </w:rPr>
        <w:t>https://doi.org/10.1080/02602938.2020.1765228</w:t>
      </w:r>
    </w:p>
    <w:p w14:paraId="50B4D0AE" w14:textId="77777777" w:rsidR="0051644D" w:rsidRPr="0051644D" w:rsidRDefault="0051644D" w:rsidP="0051644D">
      <w:pPr>
        <w:spacing w:line="480" w:lineRule="auto"/>
        <w:ind w:left="720" w:hanging="720"/>
        <w:rPr>
          <w:rFonts w:ascii="Times New Roman" w:hAnsi="Times New Roman" w:cs="Times New Roman"/>
          <w:kern w:val="0"/>
          <w:lang w:val="en-GB"/>
          <w14:ligatures w14:val="none"/>
        </w:rPr>
      </w:pPr>
      <w:r w:rsidRPr="0051644D">
        <w:rPr>
          <w:rFonts w:ascii="Times New Roman" w:hAnsi="Times New Roman" w:cs="Times New Roman"/>
          <w:kern w:val="0"/>
          <w:lang w:val="en-GB"/>
          <w14:ligatures w14:val="none"/>
        </w:rPr>
        <w:t>Levin, J., &amp; Nolan, J. F. (2013). </w:t>
      </w:r>
      <w:r w:rsidRPr="004730EC">
        <w:rPr>
          <w:rFonts w:ascii="Times New Roman" w:hAnsi="Times New Roman" w:cs="Times New Roman"/>
          <w:i/>
          <w:iCs/>
          <w:kern w:val="0"/>
          <w:lang w:val="en-GB"/>
          <w14:ligatures w14:val="none"/>
        </w:rPr>
        <w:t>Principles of classroom management: A professional decision-making model </w:t>
      </w:r>
      <w:r w:rsidRPr="0051644D">
        <w:rPr>
          <w:rFonts w:ascii="Times New Roman" w:hAnsi="Times New Roman" w:cs="Times New Roman"/>
          <w:kern w:val="0"/>
          <w:lang w:val="en-GB"/>
          <w14:ligatures w14:val="none"/>
        </w:rPr>
        <w:t>(7th ed.). Pearson.</w:t>
      </w:r>
    </w:p>
    <w:p w14:paraId="5DC55EBB" w14:textId="77777777" w:rsidR="0051644D" w:rsidRPr="0051644D" w:rsidRDefault="0051644D" w:rsidP="0051644D">
      <w:pPr>
        <w:spacing w:line="480" w:lineRule="auto"/>
        <w:ind w:left="720" w:hanging="720"/>
        <w:rPr>
          <w:rFonts w:ascii="Times New Roman" w:hAnsi="Times New Roman" w:cs="Times New Roman"/>
          <w:kern w:val="0"/>
          <w:lang w:val="en-GB"/>
          <w14:ligatures w14:val="none"/>
        </w:rPr>
      </w:pPr>
      <w:r w:rsidRPr="0051644D">
        <w:rPr>
          <w:rFonts w:ascii="Times New Roman" w:hAnsi="Times New Roman" w:cs="Times New Roman"/>
          <w:kern w:val="0"/>
          <w:lang w:val="en-GB"/>
          <w14:ligatures w14:val="none"/>
        </w:rPr>
        <w:t>Tomlinson, C. A. (2014). </w:t>
      </w:r>
      <w:r w:rsidRPr="004730EC">
        <w:rPr>
          <w:rFonts w:ascii="Times New Roman" w:hAnsi="Times New Roman" w:cs="Times New Roman"/>
          <w:i/>
          <w:iCs/>
          <w:kern w:val="0"/>
          <w:lang w:val="en-GB"/>
          <w14:ligatures w14:val="none"/>
        </w:rPr>
        <w:t>The differentiated classroom: Responding to the needs of all learners</w:t>
      </w:r>
      <w:r w:rsidRPr="0051644D">
        <w:rPr>
          <w:rFonts w:ascii="Times New Roman" w:hAnsi="Times New Roman" w:cs="Times New Roman"/>
          <w:kern w:val="0"/>
          <w:lang w:val="en-GB"/>
          <w14:ligatures w14:val="none"/>
        </w:rPr>
        <w:t> (2nd ed.). ASCD.</w:t>
      </w:r>
    </w:p>
    <w:p w14:paraId="0A6D7D9E" w14:textId="0AE2BFB2" w:rsidR="00466E14" w:rsidRPr="0051644D" w:rsidRDefault="0051644D" w:rsidP="0051644D">
      <w:pPr>
        <w:spacing w:line="480" w:lineRule="auto"/>
        <w:ind w:left="720" w:hanging="720"/>
        <w:rPr>
          <w:rFonts w:ascii="Times New Roman" w:hAnsi="Times New Roman" w:cs="Times New Roman"/>
          <w:kern w:val="0"/>
          <w:lang w:val="en-GB"/>
          <w14:ligatures w14:val="none"/>
        </w:rPr>
      </w:pPr>
      <w:r w:rsidRPr="0051644D">
        <w:rPr>
          <w:rFonts w:ascii="Times New Roman" w:hAnsi="Times New Roman" w:cs="Times New Roman"/>
          <w:kern w:val="0"/>
          <w:lang w:val="en-GB"/>
          <w14:ligatures w14:val="none"/>
        </w:rPr>
        <w:t xml:space="preserve">Vygotsky, L. S. (1978). Mind in society: </w:t>
      </w:r>
      <w:r w:rsidRPr="004730EC">
        <w:rPr>
          <w:rFonts w:ascii="Times New Roman" w:hAnsi="Times New Roman" w:cs="Times New Roman"/>
          <w:i/>
          <w:iCs/>
          <w:kern w:val="0"/>
          <w:lang w:val="en-GB"/>
          <w14:ligatures w14:val="none"/>
        </w:rPr>
        <w:t>The development of higher psychological processes.</w:t>
      </w:r>
      <w:r w:rsidRPr="0051644D">
        <w:rPr>
          <w:rFonts w:ascii="Times New Roman" w:hAnsi="Times New Roman" w:cs="Times New Roman"/>
          <w:kern w:val="0"/>
          <w:lang w:val="en-GB"/>
          <w14:ligatures w14:val="none"/>
        </w:rPr>
        <w:t xml:space="preserve"> Harvard University Press.</w:t>
      </w:r>
    </w:p>
    <w:p w14:paraId="33A67A7A" w14:textId="46B50667" w:rsidR="00AE3C80" w:rsidRPr="00E43FE7" w:rsidRDefault="00AE3C80" w:rsidP="000D700A">
      <w:pPr>
        <w:spacing w:line="480" w:lineRule="auto"/>
        <w:ind w:left="720" w:hanging="720"/>
        <w:rPr>
          <w:rFonts w:ascii="Times New Roman" w:hAnsi="Times New Roman" w:cs="Times New Roman"/>
          <w:kern w:val="0"/>
          <w:lang w:val="en-GB"/>
          <w14:ligatures w14:val="none"/>
        </w:rPr>
      </w:pPr>
    </w:p>
    <w:sectPr w:rsidR="00AE3C80" w:rsidRPr="00E43F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FE7"/>
    <w:rsid w:val="000D700A"/>
    <w:rsid w:val="0011040A"/>
    <w:rsid w:val="0028550E"/>
    <w:rsid w:val="00380019"/>
    <w:rsid w:val="00394552"/>
    <w:rsid w:val="003D4703"/>
    <w:rsid w:val="00463DBA"/>
    <w:rsid w:val="00466E14"/>
    <w:rsid w:val="004730EC"/>
    <w:rsid w:val="0051644D"/>
    <w:rsid w:val="007716B0"/>
    <w:rsid w:val="00783517"/>
    <w:rsid w:val="00816D5B"/>
    <w:rsid w:val="00874F85"/>
    <w:rsid w:val="0091054D"/>
    <w:rsid w:val="00921AD4"/>
    <w:rsid w:val="009425E0"/>
    <w:rsid w:val="009D40EA"/>
    <w:rsid w:val="00A3013B"/>
    <w:rsid w:val="00A46B86"/>
    <w:rsid w:val="00AE3C80"/>
    <w:rsid w:val="00B736FD"/>
    <w:rsid w:val="00BE519C"/>
    <w:rsid w:val="00CA18E3"/>
    <w:rsid w:val="00CB3033"/>
    <w:rsid w:val="00E43FE7"/>
    <w:rsid w:val="00F825FF"/>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61B680"/>
  <w15:chartTrackingRefBased/>
  <w15:docId w15:val="{94BBB2C5-209A-4935-980C-62777A074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00A"/>
    <w:pPr>
      <w:ind w:firstLine="720"/>
    </w:pPr>
  </w:style>
  <w:style w:type="paragraph" w:styleId="Heading1">
    <w:name w:val="heading 1"/>
    <w:basedOn w:val="Normal"/>
    <w:next w:val="Normal"/>
    <w:link w:val="Heading1Char"/>
    <w:uiPriority w:val="9"/>
    <w:qFormat/>
    <w:rsid w:val="00E43F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3F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3F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3F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3F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3F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3F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3F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3F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F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3F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3F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3F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3F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3F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3F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3F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3FE7"/>
    <w:rPr>
      <w:rFonts w:eastAsiaTheme="majorEastAsia" w:cstheme="majorBidi"/>
      <w:color w:val="272727" w:themeColor="text1" w:themeTint="D8"/>
    </w:rPr>
  </w:style>
  <w:style w:type="paragraph" w:styleId="Title">
    <w:name w:val="Title"/>
    <w:basedOn w:val="Normal"/>
    <w:next w:val="Normal"/>
    <w:link w:val="TitleChar"/>
    <w:uiPriority w:val="10"/>
    <w:qFormat/>
    <w:rsid w:val="00E43F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3F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3FE7"/>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3F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3FE7"/>
    <w:pPr>
      <w:spacing w:before="160"/>
      <w:jc w:val="center"/>
    </w:pPr>
    <w:rPr>
      <w:i/>
      <w:iCs/>
      <w:color w:val="404040" w:themeColor="text1" w:themeTint="BF"/>
    </w:rPr>
  </w:style>
  <w:style w:type="character" w:customStyle="1" w:styleId="QuoteChar">
    <w:name w:val="Quote Char"/>
    <w:basedOn w:val="DefaultParagraphFont"/>
    <w:link w:val="Quote"/>
    <w:uiPriority w:val="29"/>
    <w:rsid w:val="00E43FE7"/>
    <w:rPr>
      <w:i/>
      <w:iCs/>
      <w:color w:val="404040" w:themeColor="text1" w:themeTint="BF"/>
    </w:rPr>
  </w:style>
  <w:style w:type="paragraph" w:styleId="ListParagraph">
    <w:name w:val="List Paragraph"/>
    <w:basedOn w:val="Normal"/>
    <w:uiPriority w:val="34"/>
    <w:qFormat/>
    <w:rsid w:val="00E43FE7"/>
    <w:pPr>
      <w:ind w:left="720"/>
      <w:contextualSpacing/>
    </w:pPr>
  </w:style>
  <w:style w:type="character" w:styleId="IntenseEmphasis">
    <w:name w:val="Intense Emphasis"/>
    <w:basedOn w:val="DefaultParagraphFont"/>
    <w:uiPriority w:val="21"/>
    <w:qFormat/>
    <w:rsid w:val="00E43FE7"/>
    <w:rPr>
      <w:i/>
      <w:iCs/>
      <w:color w:val="0F4761" w:themeColor="accent1" w:themeShade="BF"/>
    </w:rPr>
  </w:style>
  <w:style w:type="paragraph" w:styleId="IntenseQuote">
    <w:name w:val="Intense Quote"/>
    <w:basedOn w:val="Normal"/>
    <w:next w:val="Normal"/>
    <w:link w:val="IntenseQuoteChar"/>
    <w:uiPriority w:val="30"/>
    <w:qFormat/>
    <w:rsid w:val="00E43F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3FE7"/>
    <w:rPr>
      <w:i/>
      <w:iCs/>
      <w:color w:val="0F4761" w:themeColor="accent1" w:themeShade="BF"/>
    </w:rPr>
  </w:style>
  <w:style w:type="character" w:styleId="IntenseReference">
    <w:name w:val="Intense Reference"/>
    <w:basedOn w:val="DefaultParagraphFont"/>
    <w:uiPriority w:val="32"/>
    <w:qFormat/>
    <w:rsid w:val="00E43FE7"/>
    <w:rPr>
      <w:b/>
      <w:bCs/>
      <w:smallCaps/>
      <w:color w:val="0F4761" w:themeColor="accent1" w:themeShade="BF"/>
      <w:spacing w:val="5"/>
    </w:rPr>
  </w:style>
  <w:style w:type="character" w:styleId="Hyperlink">
    <w:name w:val="Hyperlink"/>
    <w:basedOn w:val="DefaultParagraphFont"/>
    <w:uiPriority w:val="99"/>
    <w:unhideWhenUsed/>
    <w:rsid w:val="007716B0"/>
    <w:rPr>
      <w:color w:val="467886" w:themeColor="hyperlink"/>
      <w:u w:val="single"/>
    </w:rPr>
  </w:style>
  <w:style w:type="character" w:styleId="UnresolvedMention">
    <w:name w:val="Unresolved Mention"/>
    <w:basedOn w:val="DefaultParagraphFont"/>
    <w:uiPriority w:val="99"/>
    <w:semiHidden/>
    <w:unhideWhenUsed/>
    <w:rsid w:val="007716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9</TotalTime>
  <Pages>6</Pages>
  <Words>1135</Words>
  <Characters>6593</Characters>
  <Application>Microsoft Office Word</Application>
  <DocSecurity>0</DocSecurity>
  <Lines>135</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Abdulrahman Mudheb Saleh Albabakri</dc:creator>
  <cp:keywords/>
  <dc:description/>
  <cp:lastModifiedBy>Abdulrahman Mudheb Saleh Al Babakri (Miral Experiences)</cp:lastModifiedBy>
  <cp:revision>3</cp:revision>
  <dcterms:created xsi:type="dcterms:W3CDTF">2025-11-06T18:03:00Z</dcterms:created>
  <dcterms:modified xsi:type="dcterms:W3CDTF">2025-11-06T18:11:00Z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48709cb0-bcaf-42f4-801d-d961176992c2</vt:lpwstr>
  </property>
  <property fmtid="{D5CDD505-2E9C-101B-9397-08002B2CF9AE}" pid="3" name="MSIP_Label_fe1c5235-23fc-43dc-a60e-9ba5e777df86_Enabled">
    <vt:lpwstr>true</vt:lpwstr>
  </property>
  <property fmtid="{D5CDD505-2E9C-101B-9397-08002B2CF9AE}" pid="4" name="MSIP_Label_fe1c5235-23fc-43dc-a60e-9ba5e777df86_SetDate">
    <vt:lpwstr>2025-10-02T17:58:22Z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2cc04a71-6c41-4f4a-8153-c18e82125a7e</vt:lpwstr>
  </property>
  <property fmtid="{D5CDD505-2E9C-101B-9397-08002B2CF9AE}" pid="9" name="MSIP_Label_fe1c5235-23fc-43dc-a60e-9ba5e777df86_ContentBits">
    <vt:lpwstr>0</vt:lpwstr>
  </property>
  <property fmtid="{D5CDD505-2E9C-101B-9397-08002B2CF9AE}" pid="10" name="MSIP_Label_fe1c5235-23fc-43dc-a60e-9ba5e777df86_Tag">
    <vt:lpwstr>10, 3, 0, 1</vt:lpwstr>
  </property>
</Properties>
</file>